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29" w:rsidRDefault="00C21D29" w:rsidP="00C21D29">
      <w:pPr>
        <w:spacing w:line="580" w:lineRule="exact"/>
        <w:jc w:val="left"/>
        <w:rPr>
          <w:rFonts w:ascii="仿宋" w:hAnsi="仿宋"/>
          <w:szCs w:val="32"/>
        </w:rPr>
      </w:pPr>
      <w:r>
        <w:rPr>
          <w:rFonts w:ascii="仿宋" w:hAnsi="仿宋" w:cs="仿宋" w:hint="eastAsia"/>
          <w:sz w:val="28"/>
          <w:szCs w:val="28"/>
        </w:rPr>
        <w:t>附件1</w:t>
      </w:r>
    </w:p>
    <w:p w:rsidR="00C21D29" w:rsidRDefault="00C21D29" w:rsidP="00C21D29">
      <w:pPr>
        <w:spacing w:line="580" w:lineRule="exact"/>
        <w:jc w:val="left"/>
        <w:rPr>
          <w:rFonts w:ascii="仿宋" w:hAnsi="仿宋"/>
          <w:szCs w:val="32"/>
        </w:rPr>
      </w:pPr>
    </w:p>
    <w:p w:rsidR="00C21D29" w:rsidRDefault="00C21D29" w:rsidP="00C21D29">
      <w:pPr>
        <w:spacing w:line="580" w:lineRule="exact"/>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2020年度四川省中医药科研专项课题</w:t>
      </w:r>
    </w:p>
    <w:p w:rsidR="00C21D29" w:rsidRDefault="00C21D29" w:rsidP="00C21D29">
      <w:pPr>
        <w:spacing w:line="580" w:lineRule="exact"/>
        <w:jc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招标指南</w:t>
      </w:r>
    </w:p>
    <w:p w:rsidR="00C21D29" w:rsidRDefault="00C21D29" w:rsidP="00C21D29">
      <w:pPr>
        <w:spacing w:line="580" w:lineRule="exact"/>
        <w:jc w:val="left"/>
      </w:pPr>
    </w:p>
    <w:p w:rsidR="00C21D29" w:rsidRDefault="00C21D29" w:rsidP="00C21D29">
      <w:pPr>
        <w:spacing w:line="580" w:lineRule="exact"/>
        <w:ind w:firstLineChars="200" w:firstLine="632"/>
        <w:rPr>
          <w:rFonts w:ascii="黑体" w:eastAsia="黑体" w:hAnsi="黑体" w:cs="黑体"/>
          <w:color w:val="000000"/>
          <w:kern w:val="0"/>
          <w:szCs w:val="32"/>
        </w:rPr>
      </w:pPr>
      <w:r>
        <w:rPr>
          <w:rFonts w:ascii="黑体" w:eastAsia="黑体" w:hAnsi="黑体" w:cs="黑体" w:hint="eastAsia"/>
          <w:color w:val="000000"/>
          <w:kern w:val="0"/>
          <w:szCs w:val="32"/>
        </w:rPr>
        <w:t>一、基本要求</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遵循中医药发展规律，立足我省中医药发展，突出优势特色，传承精华，守正创新，培养中医药科研临床中青年骨干，提高中医药（含中西医结合、民族医药，下同）防病治病能力和学术水平，提高中医药服务经济社会发展的能力。专项任务包括中医药基础研究、中医药临床研究、中医药大健康产品开发3个领域方向。</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课题周期2年：2020年10月至2022年10月。</w:t>
      </w:r>
    </w:p>
    <w:p w:rsidR="00C21D29" w:rsidRDefault="00C21D29" w:rsidP="00C21D29">
      <w:pPr>
        <w:spacing w:line="580" w:lineRule="exact"/>
        <w:ind w:firstLineChars="200" w:firstLine="632"/>
        <w:rPr>
          <w:rFonts w:ascii="黑体" w:eastAsia="黑体" w:hAnsi="黑体" w:cs="黑体"/>
          <w:color w:val="000000"/>
          <w:kern w:val="0"/>
          <w:szCs w:val="32"/>
        </w:rPr>
      </w:pPr>
      <w:r>
        <w:rPr>
          <w:rFonts w:ascii="黑体" w:eastAsia="黑体" w:hAnsi="黑体" w:cs="黑体" w:hint="eastAsia"/>
          <w:color w:val="000000"/>
          <w:kern w:val="0"/>
          <w:szCs w:val="32"/>
        </w:rPr>
        <w:t>二、课题额度要求</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本年度四川省中医药科研专项课题采取立项不资助形式，由各地各单位推荐，我局组织专家评审，择优立项。课题经费由所在单位予以提供，原则上每项不低于5万元，凡单位未承诺匹配经费者不予立项。</w:t>
      </w:r>
    </w:p>
    <w:p w:rsidR="00C21D29" w:rsidRDefault="00C21D29" w:rsidP="00C21D29">
      <w:pPr>
        <w:spacing w:line="580" w:lineRule="exact"/>
        <w:ind w:firstLineChars="200" w:firstLine="632"/>
        <w:rPr>
          <w:rFonts w:ascii="黑体" w:eastAsia="黑体" w:hAnsi="黑体" w:cs="黑体"/>
          <w:color w:val="000000"/>
          <w:kern w:val="0"/>
          <w:szCs w:val="32"/>
        </w:rPr>
      </w:pPr>
      <w:r>
        <w:rPr>
          <w:rFonts w:ascii="黑体" w:eastAsia="黑体" w:hAnsi="黑体" w:cs="黑体" w:hint="eastAsia"/>
          <w:color w:val="000000"/>
          <w:kern w:val="0"/>
          <w:szCs w:val="32"/>
        </w:rPr>
        <w:t>三、申报领域</w:t>
      </w:r>
    </w:p>
    <w:p w:rsidR="00C21D29" w:rsidRDefault="00C21D29" w:rsidP="00C21D29">
      <w:pPr>
        <w:spacing w:line="580" w:lineRule="exact"/>
        <w:ind w:firstLineChars="200" w:firstLine="632"/>
        <w:rPr>
          <w:rFonts w:ascii="楷体" w:eastAsia="楷体" w:hAnsi="楷体" w:cs="楷体"/>
          <w:color w:val="000000"/>
          <w:kern w:val="0"/>
          <w:szCs w:val="32"/>
        </w:rPr>
      </w:pPr>
      <w:r>
        <w:rPr>
          <w:rFonts w:ascii="楷体" w:eastAsia="楷体" w:hAnsi="楷体" w:cs="楷体" w:hint="eastAsia"/>
          <w:color w:val="000000"/>
          <w:kern w:val="0"/>
          <w:szCs w:val="32"/>
        </w:rPr>
        <w:t>（一）中医药基础研究（课题标志“中医药基础”）</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1.研究范围</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lastRenderedPageBreak/>
        <w:t>川派中医药典籍、方药、名老中医学术经验、特色诊疗技术、民族医药挖掘、整理与应用；传统老药工技艺、川派中药炮制技术挖掘整理以及相关现代传承研究；</w:t>
      </w:r>
      <w:proofErr w:type="gramStart"/>
      <w:r>
        <w:rPr>
          <w:rFonts w:ascii="仿宋" w:hAnsi="仿宋" w:cs="Arial" w:hint="eastAsia"/>
          <w:color w:val="000000"/>
          <w:kern w:val="0"/>
          <w:szCs w:val="32"/>
        </w:rPr>
        <w:t>川产道地药材</w:t>
      </w:r>
      <w:proofErr w:type="gramEnd"/>
      <w:r>
        <w:rPr>
          <w:rFonts w:ascii="仿宋" w:hAnsi="仿宋" w:cs="Arial" w:hint="eastAsia"/>
          <w:color w:val="000000"/>
          <w:kern w:val="0"/>
          <w:szCs w:val="32"/>
        </w:rPr>
        <w:t>良种选育、繁种育苗、</w:t>
      </w:r>
      <w:proofErr w:type="gramStart"/>
      <w:r>
        <w:rPr>
          <w:rFonts w:ascii="仿宋" w:hAnsi="仿宋" w:cs="Arial"/>
          <w:color w:val="000000"/>
          <w:kern w:val="0"/>
          <w:szCs w:val="32"/>
        </w:rPr>
        <w:t>难繁品种</w:t>
      </w:r>
      <w:proofErr w:type="gramEnd"/>
      <w:r>
        <w:rPr>
          <w:rFonts w:ascii="仿宋" w:hAnsi="仿宋" w:cs="Arial"/>
          <w:color w:val="000000"/>
          <w:kern w:val="0"/>
          <w:szCs w:val="32"/>
        </w:rPr>
        <w:t>繁育关键技术研究</w:t>
      </w:r>
      <w:r>
        <w:rPr>
          <w:rFonts w:ascii="仿宋" w:hAnsi="仿宋" w:cs="Arial" w:hint="eastAsia"/>
          <w:color w:val="000000"/>
          <w:kern w:val="0"/>
          <w:szCs w:val="32"/>
        </w:rPr>
        <w:t>；</w:t>
      </w:r>
      <w:r>
        <w:rPr>
          <w:rFonts w:ascii="仿宋" w:hAnsi="仿宋" w:cs="Arial"/>
          <w:color w:val="000000"/>
          <w:kern w:val="0"/>
          <w:szCs w:val="32"/>
        </w:rPr>
        <w:t>中药</w:t>
      </w:r>
      <w:r>
        <w:rPr>
          <w:rFonts w:ascii="仿宋" w:hAnsi="仿宋" w:cs="Arial" w:hint="eastAsia"/>
          <w:color w:val="000000"/>
          <w:kern w:val="0"/>
          <w:szCs w:val="32"/>
        </w:rPr>
        <w:t>材及中药产品</w:t>
      </w:r>
      <w:r>
        <w:rPr>
          <w:rFonts w:ascii="仿宋" w:hAnsi="仿宋" w:cs="Arial"/>
          <w:color w:val="000000"/>
          <w:kern w:val="0"/>
          <w:szCs w:val="32"/>
        </w:rPr>
        <w:t>的精准质控研究</w:t>
      </w:r>
      <w:r>
        <w:rPr>
          <w:rFonts w:ascii="仿宋" w:hAnsi="仿宋" w:cs="Arial" w:hint="eastAsia"/>
          <w:color w:val="000000"/>
          <w:kern w:val="0"/>
          <w:szCs w:val="32"/>
        </w:rPr>
        <w:t>；中医药管理以及相关政策研究。</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2.技术要求</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选题上应注重对中医药的传承与创新，具有一定的前期基础或特色；技术上要融入现有或可利用的先进技术，突出学科交叉和技术创新；研究方案设计合理，技术路线清晰可行，目标明确，表述规范，重视“点”，避免“面”。</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3.考核指标</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研究成果须在相关中文核心期刊及以上发表2篇论文（综述和个案不纳入，含已录用）或出版专著或申报发明专利1项（获得国家知识产权局受理证明）。</w:t>
      </w:r>
    </w:p>
    <w:p w:rsidR="00C21D29" w:rsidRDefault="00C21D29" w:rsidP="00C21D29">
      <w:pPr>
        <w:spacing w:line="580" w:lineRule="exact"/>
        <w:ind w:firstLineChars="200" w:firstLine="632"/>
        <w:rPr>
          <w:rFonts w:ascii="楷体" w:eastAsia="楷体" w:hAnsi="楷体" w:cs="楷体"/>
          <w:color w:val="000000"/>
          <w:kern w:val="0"/>
          <w:szCs w:val="32"/>
        </w:rPr>
      </w:pPr>
      <w:r>
        <w:rPr>
          <w:rFonts w:ascii="楷体" w:eastAsia="楷体" w:hAnsi="楷体" w:cs="楷体" w:hint="eastAsia"/>
          <w:color w:val="000000"/>
          <w:kern w:val="0"/>
          <w:szCs w:val="32"/>
        </w:rPr>
        <w:t>（二）中医药临床研究（课题标志“中医药临床”）</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 xml:space="preserve">1.研究范围 </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围绕重大疾病、疑难疾病、优势病种的中医药治疗方案或方法进行临床疗效评价研究，省级及以上临床重点专科、专病优先。</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 xml:space="preserve">2.技术要求 </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研究方案应中医特色鲜明，设计科学合理、实用性和操作性强，采用的检测指标切合实际。在现有临床疗效基础上，总结辨</w:t>
      </w:r>
      <w:r>
        <w:rPr>
          <w:rFonts w:ascii="仿宋" w:hAnsi="仿宋" w:cs="Arial" w:hint="eastAsia"/>
          <w:color w:val="000000"/>
          <w:kern w:val="0"/>
          <w:szCs w:val="32"/>
        </w:rPr>
        <w:lastRenderedPageBreak/>
        <w:t>证论治规律，创新诊疗理论，优化诊疗方案，建立科学规范的临床疗效评价体系和路径。要求采用三个中心以上的随机对照试验，病例数（实验组）需符合统计学要求。</w:t>
      </w:r>
      <w:proofErr w:type="gramStart"/>
      <w:r>
        <w:rPr>
          <w:rFonts w:ascii="仿宋" w:hAnsi="仿宋" w:cs="Arial" w:hint="eastAsia"/>
          <w:color w:val="000000"/>
          <w:kern w:val="0"/>
          <w:szCs w:val="32"/>
        </w:rPr>
        <w:t>鼓励长</w:t>
      </w:r>
      <w:proofErr w:type="gramEnd"/>
      <w:r>
        <w:rPr>
          <w:rFonts w:ascii="仿宋" w:hAnsi="仿宋" w:cs="Arial" w:hint="eastAsia"/>
          <w:color w:val="000000"/>
          <w:kern w:val="0"/>
          <w:szCs w:val="32"/>
        </w:rPr>
        <w:t>疗程，以终点事件为观察指标的临床研究。方案中使用中药饮片者，要以协定处方、中药免煎剂形式出现，以便临床观察。使用的中药，应已取得国家药品注册证书或医疗机构中药制剂文号。若为调剂使用的医院制剂，应取得使用许可（请随申请书提供相关证明材料）。</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3.考核指标</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（1）形成完整、高质量的临床研究报告；</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（2）在中文核心期刊及以上发表临床研究论文至少2篇；</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（3）初步形成中医临床诊疗新方法（技术）、新方案、临床路径、评价体系等。</w:t>
      </w:r>
    </w:p>
    <w:p w:rsidR="00C21D29" w:rsidRDefault="00C21D29" w:rsidP="00C21D29">
      <w:pPr>
        <w:spacing w:line="580" w:lineRule="exact"/>
        <w:ind w:firstLineChars="200" w:firstLine="632"/>
        <w:rPr>
          <w:rFonts w:ascii="楷体" w:eastAsia="楷体" w:hAnsi="楷体" w:cs="楷体"/>
          <w:color w:val="000000"/>
          <w:kern w:val="0"/>
          <w:szCs w:val="32"/>
        </w:rPr>
      </w:pPr>
      <w:r>
        <w:rPr>
          <w:rFonts w:ascii="楷体" w:eastAsia="楷体" w:hAnsi="楷体" w:cs="楷体" w:hint="eastAsia"/>
          <w:color w:val="000000"/>
          <w:kern w:val="0"/>
          <w:szCs w:val="32"/>
        </w:rPr>
        <w:t>（三）中医药大健康产品开发研究（课题标志“大健康产品”）</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1.研究范围</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hint="eastAsia"/>
          <w:color w:val="000000"/>
          <w:szCs w:val="32"/>
        </w:rPr>
        <w:t>养生食品（药膳）、功能型化妆品、日化产品、中医医疗器械、中兽药、中药保健食品、</w:t>
      </w:r>
      <w:r>
        <w:rPr>
          <w:rFonts w:ascii="仿宋" w:hAnsi="仿宋" w:cs="Arial" w:hint="eastAsia"/>
          <w:color w:val="000000"/>
          <w:kern w:val="0"/>
          <w:szCs w:val="32"/>
        </w:rPr>
        <w:t>医疗机构中药制剂</w:t>
      </w:r>
      <w:r>
        <w:rPr>
          <w:rFonts w:ascii="仿宋" w:hAnsi="仿宋" w:hint="eastAsia"/>
          <w:szCs w:val="32"/>
        </w:rPr>
        <w:t>的研究开发</w:t>
      </w:r>
      <w:r>
        <w:rPr>
          <w:rFonts w:ascii="仿宋" w:hAnsi="仿宋" w:cs="Arial" w:hint="eastAsia"/>
          <w:color w:val="000000"/>
          <w:kern w:val="0"/>
          <w:szCs w:val="32"/>
        </w:rPr>
        <w:t>。</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2.技术要求</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cs="Arial" w:hint="eastAsia"/>
          <w:color w:val="000000"/>
          <w:kern w:val="0"/>
          <w:szCs w:val="32"/>
        </w:rPr>
        <w:t>中医药大健康产品的开发应以市场需求为导向，满足广大群众的健康需求，以中医药理论为指导，强调技术创新和地方特色，研究方案合理、技术路线清晰可行；医疗机构中药制剂开发重点资助具有良好应用前景、疗效显著、临床使用3年以上的中药方</w:t>
      </w:r>
      <w:r>
        <w:rPr>
          <w:rFonts w:ascii="仿宋" w:hAnsi="仿宋" w:cs="Arial" w:hint="eastAsia"/>
          <w:color w:val="000000"/>
          <w:kern w:val="0"/>
          <w:szCs w:val="32"/>
        </w:rPr>
        <w:lastRenderedPageBreak/>
        <w:t>剂。研究方案和内容等应符合大健康产品和医疗机构中药制剂申报要求和标准。</w:t>
      </w:r>
    </w:p>
    <w:p w:rsidR="00C21D29" w:rsidRDefault="00C21D29" w:rsidP="00C21D29">
      <w:pPr>
        <w:spacing w:line="580" w:lineRule="exact"/>
        <w:ind w:firstLineChars="200" w:firstLine="634"/>
        <w:rPr>
          <w:rFonts w:ascii="仿宋" w:hAnsi="仿宋" w:cs="Arial"/>
          <w:b/>
          <w:bCs/>
          <w:color w:val="000000"/>
          <w:kern w:val="0"/>
          <w:szCs w:val="32"/>
        </w:rPr>
      </w:pPr>
      <w:r>
        <w:rPr>
          <w:rFonts w:ascii="仿宋" w:hAnsi="仿宋" w:cs="Arial" w:hint="eastAsia"/>
          <w:b/>
          <w:bCs/>
          <w:color w:val="000000"/>
          <w:kern w:val="0"/>
          <w:szCs w:val="32"/>
        </w:rPr>
        <w:t>3.考核指标</w:t>
      </w:r>
    </w:p>
    <w:p w:rsidR="00C21D29" w:rsidRDefault="00C21D29" w:rsidP="00C21D29">
      <w:pPr>
        <w:spacing w:line="580" w:lineRule="exact"/>
        <w:ind w:firstLineChars="200" w:firstLine="632"/>
        <w:rPr>
          <w:rFonts w:ascii="仿宋" w:hAnsi="仿宋" w:cs="Arial"/>
          <w:color w:val="000000"/>
          <w:kern w:val="0"/>
          <w:szCs w:val="32"/>
        </w:rPr>
      </w:pPr>
      <w:r>
        <w:rPr>
          <w:rFonts w:ascii="仿宋" w:hAnsi="仿宋" w:hint="eastAsia"/>
          <w:color w:val="000000"/>
          <w:szCs w:val="32"/>
        </w:rPr>
        <w:t>养生食品（药膳）需研究开发2-3种养生食品（药膳）；功</w:t>
      </w:r>
      <w:r>
        <w:rPr>
          <w:rFonts w:ascii="仿宋" w:hAnsi="仿宋" w:hint="eastAsia"/>
          <w:szCs w:val="32"/>
        </w:rPr>
        <w:t>能型化妆品、日化产品、一类中医医疗器械、</w:t>
      </w:r>
      <w:r>
        <w:rPr>
          <w:rFonts w:ascii="仿宋" w:hAnsi="仿宋" w:cs="Arial" w:hint="eastAsia"/>
          <w:color w:val="000000"/>
          <w:kern w:val="0"/>
          <w:szCs w:val="32"/>
        </w:rPr>
        <w:t>医疗机构中药制剂需</w:t>
      </w:r>
      <w:r>
        <w:rPr>
          <w:rFonts w:ascii="仿宋" w:hAnsi="仿宋" w:hint="eastAsia"/>
          <w:color w:val="000000"/>
          <w:szCs w:val="32"/>
        </w:rPr>
        <w:t>完成</w:t>
      </w:r>
      <w:r>
        <w:rPr>
          <w:rFonts w:ascii="仿宋" w:hAnsi="仿宋" w:cs="Arial" w:hint="eastAsia"/>
          <w:color w:val="000000"/>
          <w:kern w:val="0"/>
          <w:szCs w:val="32"/>
        </w:rPr>
        <w:t>备案或注册；二类、三类中医医疗器械、中兽药、中药保健食品需完成备案或注册的申报工作（获得相关受理证明材料）。</w:t>
      </w:r>
    </w:p>
    <w:p w:rsidR="00C21D29" w:rsidRDefault="00C21D29" w:rsidP="00C21D29">
      <w:pPr>
        <w:spacing w:line="580" w:lineRule="exact"/>
        <w:ind w:firstLineChars="200" w:firstLine="632"/>
        <w:rPr>
          <w:rFonts w:ascii="黑体" w:eastAsia="黑体" w:hAnsi="黑体" w:cs="黑体"/>
          <w:kern w:val="0"/>
          <w:szCs w:val="32"/>
        </w:rPr>
      </w:pPr>
      <w:r>
        <w:rPr>
          <w:rFonts w:ascii="黑体" w:eastAsia="黑体" w:hAnsi="黑体" w:cs="黑体" w:hint="eastAsia"/>
          <w:kern w:val="0"/>
          <w:szCs w:val="32"/>
        </w:rPr>
        <w:t>四、有关说明</w:t>
      </w:r>
    </w:p>
    <w:p w:rsidR="00C21D29" w:rsidRDefault="00C21D29" w:rsidP="00C21D29">
      <w:pPr>
        <w:spacing w:line="580" w:lineRule="exact"/>
        <w:ind w:firstLineChars="200" w:firstLine="632"/>
        <w:rPr>
          <w:rFonts w:ascii="仿宋" w:hAnsi="仿宋" w:cs="Arial"/>
          <w:kern w:val="0"/>
          <w:szCs w:val="32"/>
        </w:rPr>
      </w:pPr>
      <w:r>
        <w:rPr>
          <w:rFonts w:ascii="仿宋" w:hAnsi="仿宋" w:cs="Arial" w:hint="eastAsia"/>
          <w:kern w:val="0"/>
          <w:szCs w:val="32"/>
        </w:rPr>
        <w:t>（一）研究涉及人体研究需按照规定符合伦理审查要求。</w:t>
      </w:r>
    </w:p>
    <w:p w:rsidR="00C21D29" w:rsidRDefault="00C21D29" w:rsidP="00C21D29">
      <w:pPr>
        <w:spacing w:line="580" w:lineRule="exact"/>
        <w:ind w:firstLineChars="200" w:firstLine="632"/>
        <w:rPr>
          <w:rFonts w:ascii="仿宋" w:hAnsi="仿宋" w:cs="Arial"/>
          <w:kern w:val="0"/>
          <w:szCs w:val="32"/>
        </w:rPr>
      </w:pPr>
      <w:r>
        <w:rPr>
          <w:rFonts w:ascii="仿宋" w:hAnsi="仿宋" w:cs="Arial" w:hint="eastAsia"/>
          <w:kern w:val="0"/>
          <w:szCs w:val="32"/>
        </w:rPr>
        <w:t xml:space="preserve">（二）研究涉及我国人类遗传资源采集、保藏、利用、对外提供等，须遵照《中华人民共和国人类遗传资源管理条例》（国务院令第717号）相关规定执行。 </w:t>
      </w:r>
    </w:p>
    <w:p w:rsidR="00C21D29" w:rsidRDefault="00C21D29" w:rsidP="00C21D29">
      <w:pPr>
        <w:spacing w:line="580" w:lineRule="exact"/>
        <w:ind w:firstLineChars="200" w:firstLine="632"/>
        <w:rPr>
          <w:rFonts w:ascii="仿宋" w:hAnsi="仿宋" w:cs="Arial"/>
          <w:kern w:val="0"/>
          <w:szCs w:val="32"/>
        </w:rPr>
      </w:pPr>
      <w:r>
        <w:rPr>
          <w:rFonts w:ascii="仿宋" w:hAnsi="仿宋" w:cs="Arial" w:hint="eastAsia"/>
          <w:kern w:val="0"/>
          <w:szCs w:val="32"/>
        </w:rPr>
        <w:t>（三）研究涉及实验动物和动物实验，要遵守国家实验动物管理的法律、法规、技术标准及有关规定，使用合格实验动物，在合格设施内进行动物实验，保证实验过程合法，实验结果真实、有效，并符合实验动物福利和伦理审查要求。</w:t>
      </w:r>
    </w:p>
    <w:p w:rsidR="00C21D29" w:rsidRDefault="00C21D29" w:rsidP="00C21D29">
      <w:pPr>
        <w:spacing w:line="580" w:lineRule="exact"/>
        <w:ind w:firstLineChars="200" w:firstLine="632"/>
        <w:rPr>
          <w:rFonts w:ascii="仿宋" w:hAnsi="仿宋" w:cs="Arial"/>
          <w:color w:val="FF0000"/>
          <w:kern w:val="0"/>
          <w:szCs w:val="32"/>
        </w:rPr>
      </w:pPr>
      <w:r>
        <w:rPr>
          <w:rFonts w:ascii="仿宋" w:hAnsi="仿宋" w:cs="Arial" w:hint="eastAsia"/>
          <w:kern w:val="0"/>
          <w:szCs w:val="32"/>
        </w:rPr>
        <w:t>（四）为临床诊疗、采供血服务等活动需要，采集、保藏器官、组织、细胞等人体物质及开展相关活动，须依照相关法律、行政法规规定执行。</w:t>
      </w:r>
    </w:p>
    <w:p w:rsidR="00C21D29" w:rsidRDefault="00764D39" w:rsidP="00764D39">
      <w:pPr>
        <w:spacing w:line="580" w:lineRule="exact"/>
      </w:pPr>
      <w:bookmarkStart w:id="0" w:name="_GoBack"/>
      <w:bookmarkEnd w:id="0"/>
      <w:r>
        <w:t xml:space="preserve"> </w:t>
      </w:r>
    </w:p>
    <w:p w:rsidR="009557CE" w:rsidRPr="00C21D29" w:rsidRDefault="009557CE" w:rsidP="00C21D29"/>
    <w:sectPr w:rsidR="009557CE" w:rsidRPr="00C21D29" w:rsidSect="00764D39">
      <w:footerReference w:type="default" r:id="rId7"/>
      <w:pgSz w:w="11906" w:h="16838"/>
      <w:pgMar w:top="2098" w:right="1474" w:bottom="1984" w:left="1587" w:header="851" w:footer="992" w:gutter="0"/>
      <w:pgNumType w:fmt="numberInDash"/>
      <w:cols w:space="0"/>
      <w:docGrid w:type="linesAndChars" w:linePitch="49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3D" w:rsidRDefault="002B383D" w:rsidP="00C21D29">
      <w:r>
        <w:separator/>
      </w:r>
    </w:p>
  </w:endnote>
  <w:endnote w:type="continuationSeparator" w:id="0">
    <w:p w:rsidR="002B383D" w:rsidRDefault="002B383D" w:rsidP="00C2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C5" w:rsidRDefault="002B38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3D" w:rsidRDefault="002B383D" w:rsidP="00C21D29">
      <w:r>
        <w:separator/>
      </w:r>
    </w:p>
  </w:footnote>
  <w:footnote w:type="continuationSeparator" w:id="0">
    <w:p w:rsidR="002B383D" w:rsidRDefault="002B383D" w:rsidP="00C21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81"/>
    <w:rsid w:val="00024881"/>
    <w:rsid w:val="002B383D"/>
    <w:rsid w:val="00483525"/>
    <w:rsid w:val="00764D39"/>
    <w:rsid w:val="009557CE"/>
    <w:rsid w:val="00C2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21D29"/>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21D29"/>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21D29"/>
    <w:rPr>
      <w:sz w:val="18"/>
      <w:szCs w:val="18"/>
    </w:rPr>
  </w:style>
  <w:style w:type="paragraph" w:styleId="a4">
    <w:name w:val="footer"/>
    <w:basedOn w:val="a"/>
    <w:link w:val="Char0"/>
    <w:uiPriority w:val="99"/>
    <w:unhideWhenUsed/>
    <w:qFormat/>
    <w:rsid w:val="00C21D29"/>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21D29"/>
    <w:rPr>
      <w:sz w:val="18"/>
      <w:szCs w:val="18"/>
    </w:rPr>
  </w:style>
  <w:style w:type="paragraph" w:styleId="2">
    <w:name w:val="Body Text 2"/>
    <w:basedOn w:val="a"/>
    <w:link w:val="2Char"/>
    <w:qFormat/>
    <w:rsid w:val="00C21D29"/>
    <w:rPr>
      <w:rFonts w:ascii="仿宋_GB2312" w:eastAsia="仿宋_GB2312"/>
      <w:b/>
      <w:bCs/>
      <w:sz w:val="44"/>
    </w:rPr>
  </w:style>
  <w:style w:type="character" w:customStyle="1" w:styleId="2Char">
    <w:name w:val="正文文本 2 Char"/>
    <w:basedOn w:val="a0"/>
    <w:link w:val="2"/>
    <w:rsid w:val="00C21D29"/>
    <w:rPr>
      <w:rFonts w:ascii="仿宋_GB2312" w:eastAsia="仿宋_GB2312" w:hAnsi="Times New Roman"/>
      <w:b/>
      <w:bCs/>
      <w:sz w:val="44"/>
    </w:rPr>
  </w:style>
  <w:style w:type="paragraph" w:styleId="a5">
    <w:name w:val="Plain Text"/>
    <w:basedOn w:val="a"/>
    <w:link w:val="Char1"/>
    <w:qFormat/>
    <w:rsid w:val="00C21D29"/>
    <w:rPr>
      <w:rFonts w:ascii="宋体" w:hAnsi="Courier New"/>
      <w:kern w:val="0"/>
      <w:sz w:val="20"/>
      <w:szCs w:val="20"/>
    </w:rPr>
  </w:style>
  <w:style w:type="character" w:customStyle="1" w:styleId="Char1">
    <w:name w:val="纯文本 Char"/>
    <w:basedOn w:val="a0"/>
    <w:link w:val="a5"/>
    <w:rsid w:val="00C21D29"/>
    <w:rPr>
      <w:rFonts w:ascii="宋体" w:eastAsia="仿宋" w:hAnsi="Courier New"/>
      <w:kern w:val="0"/>
      <w:sz w:val="20"/>
      <w:szCs w:val="20"/>
    </w:rPr>
  </w:style>
  <w:style w:type="character" w:styleId="a6">
    <w:name w:val="Strong"/>
    <w:rsid w:val="00C21D29"/>
    <w:rPr>
      <w:rFonts w:ascii="Times New Roman" w:eastAsia="宋体" w:hAnsi="Times New Roman" w:cs="Times New Roman"/>
      <w:b/>
      <w:bCs/>
    </w:rPr>
  </w:style>
  <w:style w:type="character" w:customStyle="1" w:styleId="NormalCharacter">
    <w:name w:val="NormalCharacter"/>
    <w:qFormat/>
    <w:rsid w:val="00C21D29"/>
    <w:rPr>
      <w:rFonts w:ascii="Times New Roman" w:eastAsia="宋体" w:hAnsi="Times New Roman"/>
    </w:rPr>
  </w:style>
  <w:style w:type="paragraph" w:customStyle="1" w:styleId="HtmlNormal">
    <w:name w:val="HtmlNormal"/>
    <w:basedOn w:val="a"/>
    <w:qFormat/>
    <w:rsid w:val="00C21D29"/>
    <w:pPr>
      <w:widowControl/>
      <w:spacing w:before="100" w:beforeAutospacing="1" w:after="100" w:afterAutospacing="1"/>
      <w:textAlignment w:val="baseline"/>
    </w:pPr>
    <w:rPr>
      <w:szCs w:val="24"/>
    </w:rPr>
  </w:style>
  <w:style w:type="paragraph" w:customStyle="1" w:styleId="BodyText">
    <w:name w:val="BodyText"/>
    <w:basedOn w:val="a"/>
    <w:qFormat/>
    <w:rsid w:val="00C21D29"/>
    <w:pPr>
      <w:widowControl/>
      <w:spacing w:before="156"/>
      <w:textAlignment w:val="baseline"/>
    </w:pPr>
    <w:rPr>
      <w:rFonts w:eastAsia="黑体"/>
      <w:sz w:val="30"/>
      <w:szCs w:val="24"/>
    </w:rPr>
  </w:style>
  <w:style w:type="paragraph" w:customStyle="1" w:styleId="179">
    <w:name w:val="179"/>
    <w:basedOn w:val="a"/>
    <w:qFormat/>
    <w:rsid w:val="00C21D29"/>
    <w:pPr>
      <w:widowControl/>
      <w:ind w:firstLineChars="200" w:firstLine="420"/>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21D29"/>
    <w:pPr>
      <w:widowControl w:val="0"/>
      <w:jc w:val="both"/>
    </w:pPr>
    <w:rPr>
      <w:rFonts w:ascii="Times New Roman" w:eastAsia="仿宋"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C21D29"/>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
    <w:name w:val="页眉 Char"/>
    <w:basedOn w:val="a0"/>
    <w:link w:val="a3"/>
    <w:uiPriority w:val="99"/>
    <w:rsid w:val="00C21D29"/>
    <w:rPr>
      <w:sz w:val="18"/>
      <w:szCs w:val="18"/>
    </w:rPr>
  </w:style>
  <w:style w:type="paragraph" w:styleId="a4">
    <w:name w:val="footer"/>
    <w:basedOn w:val="a"/>
    <w:link w:val="Char0"/>
    <w:uiPriority w:val="99"/>
    <w:unhideWhenUsed/>
    <w:qFormat/>
    <w:rsid w:val="00C21D29"/>
    <w:pPr>
      <w:tabs>
        <w:tab w:val="center" w:pos="4153"/>
        <w:tab w:val="right" w:pos="8306"/>
      </w:tabs>
      <w:snapToGrid w:val="0"/>
      <w:jc w:val="left"/>
    </w:pPr>
    <w:rPr>
      <w:rFonts w:asciiTheme="minorHAnsi" w:eastAsiaTheme="minorEastAsia" w:hAnsiTheme="minorHAnsi"/>
      <w:sz w:val="18"/>
      <w:szCs w:val="18"/>
    </w:rPr>
  </w:style>
  <w:style w:type="character" w:customStyle="1" w:styleId="Char0">
    <w:name w:val="页脚 Char"/>
    <w:basedOn w:val="a0"/>
    <w:link w:val="a4"/>
    <w:uiPriority w:val="99"/>
    <w:rsid w:val="00C21D29"/>
    <w:rPr>
      <w:sz w:val="18"/>
      <w:szCs w:val="18"/>
    </w:rPr>
  </w:style>
  <w:style w:type="paragraph" w:styleId="2">
    <w:name w:val="Body Text 2"/>
    <w:basedOn w:val="a"/>
    <w:link w:val="2Char"/>
    <w:qFormat/>
    <w:rsid w:val="00C21D29"/>
    <w:rPr>
      <w:rFonts w:ascii="仿宋_GB2312" w:eastAsia="仿宋_GB2312"/>
      <w:b/>
      <w:bCs/>
      <w:sz w:val="44"/>
    </w:rPr>
  </w:style>
  <w:style w:type="character" w:customStyle="1" w:styleId="2Char">
    <w:name w:val="正文文本 2 Char"/>
    <w:basedOn w:val="a0"/>
    <w:link w:val="2"/>
    <w:rsid w:val="00C21D29"/>
    <w:rPr>
      <w:rFonts w:ascii="仿宋_GB2312" w:eastAsia="仿宋_GB2312" w:hAnsi="Times New Roman"/>
      <w:b/>
      <w:bCs/>
      <w:sz w:val="44"/>
    </w:rPr>
  </w:style>
  <w:style w:type="paragraph" w:styleId="a5">
    <w:name w:val="Plain Text"/>
    <w:basedOn w:val="a"/>
    <w:link w:val="Char1"/>
    <w:qFormat/>
    <w:rsid w:val="00C21D29"/>
    <w:rPr>
      <w:rFonts w:ascii="宋体" w:hAnsi="Courier New"/>
      <w:kern w:val="0"/>
      <w:sz w:val="20"/>
      <w:szCs w:val="20"/>
    </w:rPr>
  </w:style>
  <w:style w:type="character" w:customStyle="1" w:styleId="Char1">
    <w:name w:val="纯文本 Char"/>
    <w:basedOn w:val="a0"/>
    <w:link w:val="a5"/>
    <w:rsid w:val="00C21D29"/>
    <w:rPr>
      <w:rFonts w:ascii="宋体" w:eastAsia="仿宋" w:hAnsi="Courier New"/>
      <w:kern w:val="0"/>
      <w:sz w:val="20"/>
      <w:szCs w:val="20"/>
    </w:rPr>
  </w:style>
  <w:style w:type="character" w:styleId="a6">
    <w:name w:val="Strong"/>
    <w:rsid w:val="00C21D29"/>
    <w:rPr>
      <w:rFonts w:ascii="Times New Roman" w:eastAsia="宋体" w:hAnsi="Times New Roman" w:cs="Times New Roman"/>
      <w:b/>
      <w:bCs/>
    </w:rPr>
  </w:style>
  <w:style w:type="character" w:customStyle="1" w:styleId="NormalCharacter">
    <w:name w:val="NormalCharacter"/>
    <w:qFormat/>
    <w:rsid w:val="00C21D29"/>
    <w:rPr>
      <w:rFonts w:ascii="Times New Roman" w:eastAsia="宋体" w:hAnsi="Times New Roman"/>
    </w:rPr>
  </w:style>
  <w:style w:type="paragraph" w:customStyle="1" w:styleId="HtmlNormal">
    <w:name w:val="HtmlNormal"/>
    <w:basedOn w:val="a"/>
    <w:qFormat/>
    <w:rsid w:val="00C21D29"/>
    <w:pPr>
      <w:widowControl/>
      <w:spacing w:before="100" w:beforeAutospacing="1" w:after="100" w:afterAutospacing="1"/>
      <w:textAlignment w:val="baseline"/>
    </w:pPr>
    <w:rPr>
      <w:szCs w:val="24"/>
    </w:rPr>
  </w:style>
  <w:style w:type="paragraph" w:customStyle="1" w:styleId="BodyText">
    <w:name w:val="BodyText"/>
    <w:basedOn w:val="a"/>
    <w:qFormat/>
    <w:rsid w:val="00C21D29"/>
    <w:pPr>
      <w:widowControl/>
      <w:spacing w:before="156"/>
      <w:textAlignment w:val="baseline"/>
    </w:pPr>
    <w:rPr>
      <w:rFonts w:eastAsia="黑体"/>
      <w:sz w:val="30"/>
      <w:szCs w:val="24"/>
    </w:rPr>
  </w:style>
  <w:style w:type="paragraph" w:customStyle="1" w:styleId="179">
    <w:name w:val="179"/>
    <w:basedOn w:val="a"/>
    <w:qFormat/>
    <w:rsid w:val="00C21D29"/>
    <w:pPr>
      <w:widowControl/>
      <w:ind w:firstLineChars="200" w:firstLine="42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scwlkjc</dc:creator>
  <cp:lastModifiedBy>scwlkjc</cp:lastModifiedBy>
  <cp:revision>3</cp:revision>
  <dcterms:created xsi:type="dcterms:W3CDTF">2020-07-31T03:46:00Z</dcterms:created>
  <dcterms:modified xsi:type="dcterms:W3CDTF">2020-07-31T04:00:00Z</dcterms:modified>
</cp:coreProperties>
</file>