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宋体"/>
          <w:b/>
          <w:bCs/>
          <w:sz w:val="32"/>
          <w:szCs w:val="32"/>
        </w:rPr>
      </w:pPr>
      <w:r>
        <w:rPr>
          <w:rFonts w:hint="eastAsia" w:ascii="黑体" w:hAnsi="黑体" w:eastAsia="黑体" w:cs="宋体"/>
          <w:b/>
          <w:bCs/>
          <w:sz w:val="32"/>
          <w:szCs w:val="32"/>
        </w:rPr>
        <w:t>四川省哲学社会科学重点研究基地</w:t>
      </w:r>
    </w:p>
    <w:p>
      <w:pPr>
        <w:jc w:val="center"/>
        <w:rPr>
          <w:rFonts w:ascii="黑体" w:hAnsi="黑体" w:eastAsia="黑体" w:cs="宋体"/>
          <w:b/>
          <w:bCs/>
          <w:sz w:val="32"/>
          <w:szCs w:val="32"/>
        </w:rPr>
      </w:pPr>
      <w:r>
        <w:rPr>
          <w:rFonts w:hint="eastAsia" w:ascii="黑体" w:hAnsi="黑体" w:eastAsia="黑体" w:cs="宋体"/>
          <w:b/>
          <w:bCs/>
          <w:sz w:val="32"/>
          <w:szCs w:val="32"/>
        </w:rPr>
        <w:t>老龄事业与产业研究中心2019年度项目申报</w:t>
      </w:r>
      <w:r>
        <w:rPr>
          <w:rFonts w:hint="eastAsia" w:ascii="黑体" w:hAnsi="黑体" w:eastAsia="黑体" w:cs="宋体"/>
          <w:b/>
          <w:bCs/>
          <w:sz w:val="32"/>
          <w:szCs w:val="32"/>
          <w:lang w:eastAsia="zh-CN"/>
        </w:rPr>
        <w:t>通知</w:t>
      </w:r>
    </w:p>
    <w:p>
      <w:pPr>
        <w:spacing w:line="460" w:lineRule="exact"/>
        <w:ind w:firstLine="560" w:firstLineChars="200"/>
        <w:rPr>
          <w:rFonts w:ascii="仿宋_GB2312" w:hAnsi="宋体" w:eastAsia="仿宋_GB2312"/>
          <w:sz w:val="28"/>
          <w:szCs w:val="28"/>
        </w:rPr>
      </w:pPr>
      <w:r>
        <w:rPr>
          <w:rFonts w:hint="eastAsia" w:ascii="仿宋_GB2312" w:hAnsi="宋体" w:eastAsia="仿宋_GB2312"/>
          <w:sz w:val="28"/>
          <w:szCs w:val="28"/>
        </w:rPr>
        <w:t>为贯彻党的十九大精神和省委十一届三次、四次全会精神，推动科学研究服务国家和区域经济发展的大局，按照《四川省哲学社会科学重点研究基地管理办法》的相关规定，四川省哲学社会科学重点研究基地“老龄事业与产业研究中心”《2019年度项目申报指南》经中心学术委员会审定并面向社会公开发布。申报工作即日起启动。现将有关事宜公告如下：</w:t>
      </w:r>
    </w:p>
    <w:p>
      <w:pPr>
        <w:widowControl/>
        <w:spacing w:line="460" w:lineRule="exact"/>
        <w:ind w:firstLine="560" w:firstLineChars="200"/>
        <w:jc w:val="left"/>
        <w:rPr>
          <w:rFonts w:ascii="黑体" w:hAnsi="黑体" w:eastAsia="黑体" w:cs="黑体"/>
          <w:bCs/>
          <w:kern w:val="0"/>
          <w:sz w:val="28"/>
          <w:szCs w:val="28"/>
        </w:rPr>
      </w:pPr>
      <w:r>
        <w:rPr>
          <w:rFonts w:hint="eastAsia" w:ascii="黑体" w:hAnsi="黑体" w:eastAsia="黑体" w:cs="黑体"/>
          <w:bCs/>
          <w:kern w:val="0"/>
          <w:sz w:val="28"/>
          <w:szCs w:val="28"/>
        </w:rPr>
        <w:t>一、项目立项指导思想</w:t>
      </w:r>
    </w:p>
    <w:p>
      <w:pPr>
        <w:spacing w:line="460" w:lineRule="exact"/>
        <w:ind w:firstLine="560" w:firstLineChars="200"/>
        <w:rPr>
          <w:rFonts w:ascii="仿宋_GB2312" w:hAnsi="宋体" w:eastAsia="仿宋_GB2312"/>
          <w:sz w:val="28"/>
          <w:szCs w:val="28"/>
        </w:rPr>
      </w:pPr>
      <w:r>
        <w:rPr>
          <w:rFonts w:hint="eastAsia" w:ascii="仿宋_GB2312" w:hAnsi="宋体" w:eastAsia="仿宋_GB2312"/>
          <w:sz w:val="28"/>
          <w:szCs w:val="28"/>
        </w:rPr>
        <w:t>以党的十九大精神和习近平新时代中国特色社会主义思想为指引，牢固树立和落实创新、协调、绿色、开放、共享的发展理念，深入贯彻落实党的十九大和省委决策部署，按照《“十三五”国家老龄事业发展和养老体系建设规划》、《四川省“十三五”老龄事业发展和养老体系建设规划》，针对我国和四川省老龄事业与产业发展面临的重大现实问题和理论问题，坚持基础研究和应用研究并重，发挥重点研究基地的引领和前瞻作用，开展具有原创性的课题研究，突出创新性、应用性、针对性，为推动四川省高质量发展提供智力支撑和实践建议。</w:t>
      </w:r>
    </w:p>
    <w:p>
      <w:pPr>
        <w:widowControl/>
        <w:spacing w:line="460" w:lineRule="exact"/>
        <w:ind w:firstLine="560" w:firstLineChars="200"/>
        <w:jc w:val="left"/>
        <w:rPr>
          <w:rFonts w:ascii="黑体" w:hAnsi="黑体" w:eastAsia="黑体" w:cs="黑体"/>
          <w:bCs/>
          <w:kern w:val="0"/>
          <w:sz w:val="28"/>
          <w:szCs w:val="28"/>
        </w:rPr>
      </w:pPr>
      <w:r>
        <w:rPr>
          <w:rFonts w:hint="eastAsia" w:ascii="黑体" w:hAnsi="黑体" w:eastAsia="黑体" w:cs="黑体"/>
          <w:bCs/>
          <w:kern w:val="0"/>
          <w:sz w:val="28"/>
          <w:szCs w:val="28"/>
        </w:rPr>
        <w:t xml:space="preserve"> 二、项目申报内容与范围</w:t>
      </w:r>
    </w:p>
    <w:p>
      <w:pPr>
        <w:widowControl/>
        <w:spacing w:after="156" w:line="460" w:lineRule="exact"/>
        <w:ind w:firstLine="560"/>
        <w:jc w:val="left"/>
        <w:rPr>
          <w:rFonts w:ascii="仿宋_GB2312" w:eastAsia="仿宋_GB2312"/>
          <w:sz w:val="28"/>
          <w:szCs w:val="28"/>
        </w:rPr>
      </w:pPr>
      <w:r>
        <w:rPr>
          <w:rFonts w:hint="eastAsia" w:ascii="仿宋_GB2312" w:eastAsia="仿宋_GB2312"/>
          <w:sz w:val="28"/>
          <w:szCs w:val="28"/>
        </w:rPr>
        <w:t>从国家和区域经济社会发展的实际需要出发，结合中心的学术凝练方向，坚持基础研究和应用研究并重，本中心2019年的科研项目主要围绕以下三个研究方向展开：老龄事业管理与公共政策研究；老龄事业与养老健康服务体系研究；老龄科技与产业创新研究。基础研究要力求能提出新观点、新方法，夯实老龄事业与产业研究的理论基础，构建完善的研究理论框架，具有较高的学术理论价值；应用研究要具有现实性、针对性和较强的决策参考价值，注重研究我国和四川省老龄事业与产业发展中具有全局性、战略性和前瞻性的重大课题和实际问题。</w:t>
      </w:r>
    </w:p>
    <w:p>
      <w:pPr>
        <w:spacing w:after="156" w:line="460" w:lineRule="exact"/>
        <w:ind w:firstLine="560" w:firstLineChars="200"/>
        <w:rPr>
          <w:rFonts w:ascii="仿宋_GB2312" w:eastAsia="仿宋_GB2312"/>
          <w:sz w:val="28"/>
          <w:szCs w:val="28"/>
        </w:rPr>
      </w:pPr>
      <w:r>
        <w:rPr>
          <w:rFonts w:hint="eastAsia" w:ascii="仿宋_GB2312" w:hAnsi="仿宋_GB2312" w:eastAsia="仿宋_GB2312" w:cs="仿宋_GB2312"/>
          <w:kern w:val="0"/>
          <w:sz w:val="28"/>
          <w:szCs w:val="28"/>
        </w:rPr>
        <w:t>选题应以指南为主要依据。</w:t>
      </w:r>
      <w:r>
        <w:rPr>
          <w:rFonts w:hint="eastAsia" w:ascii="仿宋_GB2312" w:hAnsi="仿宋_GB2312" w:eastAsia="仿宋_GB2312" w:cs="仿宋_GB2312"/>
          <w:sz w:val="28"/>
          <w:szCs w:val="28"/>
        </w:rPr>
        <w:t>指南是项目研究</w:t>
      </w:r>
      <w:r>
        <w:rPr>
          <w:rFonts w:hint="eastAsia" w:ascii="仿宋_GB2312" w:hAnsi="仿宋_GB2312" w:eastAsia="仿宋_GB2312" w:cs="仿宋_GB2312"/>
          <w:kern w:val="0"/>
          <w:sz w:val="28"/>
          <w:szCs w:val="28"/>
        </w:rPr>
        <w:t>领域、范围和方向的提示</w:t>
      </w:r>
      <w:r>
        <w:rPr>
          <w:rFonts w:hint="eastAsia" w:ascii="仿宋_GB2312" w:hAnsi="仿宋_GB2312" w:eastAsia="仿宋_GB2312" w:cs="仿宋_GB2312"/>
          <w:sz w:val="28"/>
          <w:szCs w:val="28"/>
        </w:rPr>
        <w:t>，而非具体题目。</w:t>
      </w:r>
      <w:r>
        <w:rPr>
          <w:rFonts w:hint="eastAsia" w:ascii="仿宋_GB2312" w:hAnsi="仿宋_GB2312" w:eastAsia="仿宋_GB2312" w:cs="仿宋_GB2312"/>
          <w:kern w:val="0"/>
          <w:sz w:val="28"/>
          <w:szCs w:val="28"/>
        </w:rPr>
        <w:t>申请人在申报项目时</w:t>
      </w:r>
      <w:r>
        <w:rPr>
          <w:rFonts w:hint="eastAsia" w:ascii="仿宋_GB2312" w:eastAsia="仿宋_GB2312"/>
          <w:sz w:val="28"/>
          <w:szCs w:val="28"/>
        </w:rPr>
        <w:t>既可从指南中选择科研题目，也可结合申请人自己的研究专长、兴趣和当前老龄事业与产业研究领域中的热点重点问题，从恰当的角度自行设计选题，进行深入研究。课题名称的表述应科学、严谨、规范、简明。</w:t>
      </w:r>
    </w:p>
    <w:p>
      <w:pPr>
        <w:widowControl/>
        <w:spacing w:line="460" w:lineRule="exact"/>
        <w:ind w:firstLine="560" w:firstLineChars="200"/>
        <w:jc w:val="left"/>
        <w:rPr>
          <w:rFonts w:ascii="黑体" w:hAnsi="黑体" w:eastAsia="黑体" w:cs="黑体"/>
          <w:bCs/>
          <w:kern w:val="0"/>
          <w:sz w:val="28"/>
          <w:szCs w:val="28"/>
        </w:rPr>
      </w:pPr>
      <w:r>
        <w:rPr>
          <w:rFonts w:hint="eastAsia" w:ascii="黑体" w:hAnsi="黑体" w:eastAsia="黑体" w:cs="黑体"/>
          <w:bCs/>
          <w:kern w:val="0"/>
          <w:sz w:val="28"/>
          <w:szCs w:val="28"/>
        </w:rPr>
        <w:t>三、申报基本条件</w:t>
      </w:r>
    </w:p>
    <w:p>
      <w:pPr>
        <w:spacing w:after="156" w:line="460" w:lineRule="exact"/>
        <w:ind w:firstLine="560" w:firstLineChars="200"/>
        <w:rPr>
          <w:rFonts w:ascii="仿宋_GB2312" w:hAnsi="宋体" w:eastAsia="仿宋_GB2312"/>
          <w:sz w:val="28"/>
          <w:szCs w:val="28"/>
        </w:rPr>
      </w:pPr>
      <w:r>
        <w:rPr>
          <w:rFonts w:hint="eastAsia" w:ascii="仿宋_GB2312" w:hAnsi="宋体" w:eastAsia="仿宋_GB2312"/>
          <w:sz w:val="28"/>
          <w:szCs w:val="28"/>
        </w:rPr>
        <w:t>（一）项目申报者应遵守承诺，如实填写申报材料，并保证无任何知识产权争议。凡存在弄虚作假、抄袭剽窃等行为的，一经查实，如获立项的即予撤销，并取消三年申报资格；为保证评审工作的公正性，严格评审纪律，在评审会召开之前，任何单位或个人均不得以任何名义走访评审专家，一经发现，取消当年申报资格。</w:t>
      </w:r>
    </w:p>
    <w:p>
      <w:pPr>
        <w:spacing w:after="156" w:line="460" w:lineRule="exact"/>
        <w:ind w:firstLine="560" w:firstLineChars="200"/>
        <w:rPr>
          <w:rFonts w:ascii="仿宋_GB2312" w:hAnsi="宋体" w:eastAsia="仿宋_GB2312"/>
          <w:sz w:val="28"/>
          <w:szCs w:val="28"/>
        </w:rPr>
      </w:pPr>
      <w:r>
        <w:rPr>
          <w:rFonts w:hint="eastAsia" w:ascii="仿宋_GB2312" w:hAnsi="宋体" w:eastAsia="仿宋_GB2312"/>
          <w:sz w:val="28"/>
          <w:szCs w:val="28"/>
        </w:rPr>
        <w:t>（二）所选项目应有科学合理的研究团队和相关学科的研究基础，能发挥团队优势，并能取得标志性成果。</w:t>
      </w:r>
    </w:p>
    <w:p>
      <w:pPr>
        <w:spacing w:after="156" w:line="460" w:lineRule="exact"/>
        <w:ind w:firstLine="560" w:firstLineChars="200"/>
        <w:rPr>
          <w:rFonts w:ascii="仿宋_GB2312" w:hAnsi="宋体" w:eastAsia="仿宋_GB2312"/>
          <w:sz w:val="28"/>
          <w:szCs w:val="28"/>
        </w:rPr>
      </w:pPr>
      <w:r>
        <w:rPr>
          <w:rFonts w:hint="eastAsia" w:ascii="仿宋_GB2312" w:hAnsi="宋体" w:eastAsia="仿宋_GB2312"/>
          <w:sz w:val="28"/>
          <w:szCs w:val="28"/>
        </w:rPr>
        <w:t>（三）所有项目选题均可根据指南方向自行设计。</w:t>
      </w:r>
    </w:p>
    <w:p>
      <w:pPr>
        <w:spacing w:after="156" w:line="460" w:lineRule="exact"/>
        <w:ind w:firstLine="560" w:firstLineChars="200"/>
        <w:rPr>
          <w:rFonts w:ascii="仿宋_GB2312" w:hAnsi="宋体" w:eastAsia="仿宋_GB2312"/>
          <w:sz w:val="28"/>
          <w:szCs w:val="28"/>
        </w:rPr>
      </w:pPr>
      <w:r>
        <w:rPr>
          <w:rFonts w:hint="eastAsia" w:ascii="仿宋_GB2312" w:hAnsi="宋体" w:eastAsia="仿宋_GB2312"/>
          <w:sz w:val="28"/>
          <w:szCs w:val="28"/>
        </w:rPr>
        <w:t>（四）重点项目申请者应具有副高及以上专业技术职称或已获得博士学位，具有独立开展研究和组织开展研究的能力，能够承担实质性研究工作；所申报课题应充分反映老龄事业与产业领域前沿性研究，力求原创性、开拓性和实用性，避免低水平和重复性研究；项目研究团队人员结构合理、稳定，具备相应的学术资源和研究能力。申请者若不具有副高及以上职称的，须由两名具有高级职称的同行专家推荐。一般项目申请者应具有中级及以上专业技术职称。</w:t>
      </w:r>
    </w:p>
    <w:p>
      <w:pPr>
        <w:spacing w:after="156" w:line="460" w:lineRule="exact"/>
        <w:ind w:firstLine="560" w:firstLineChars="200"/>
        <w:rPr>
          <w:rFonts w:ascii="仿宋_GB2312" w:hAnsi="宋体" w:eastAsia="仿宋_GB2312"/>
          <w:sz w:val="28"/>
          <w:szCs w:val="28"/>
        </w:rPr>
      </w:pPr>
      <w:r>
        <w:rPr>
          <w:rFonts w:hint="eastAsia" w:ascii="仿宋_GB2312" w:hAnsi="宋体" w:eastAsia="仿宋_GB2312"/>
          <w:sz w:val="28"/>
          <w:szCs w:val="28"/>
        </w:rPr>
        <w:t>（五）申报年度内，项目负责人同年度只能向中心申报一个项目，且不能作为课题组成员参与本中心其他项目的申报；课题组成员同年度最多参与本中心两个项目的申报。已获本中心立项，但未结项的项目负责人不得作为项目负责人申报。</w:t>
      </w:r>
    </w:p>
    <w:p>
      <w:pPr>
        <w:widowControl/>
        <w:spacing w:line="460" w:lineRule="exact"/>
        <w:ind w:firstLine="560" w:firstLineChars="200"/>
        <w:jc w:val="left"/>
        <w:rPr>
          <w:rFonts w:ascii="黑体" w:hAnsi="黑体" w:eastAsia="黑体" w:cs="黑体"/>
          <w:bCs/>
          <w:kern w:val="0"/>
          <w:sz w:val="28"/>
          <w:szCs w:val="28"/>
        </w:rPr>
      </w:pPr>
      <w:r>
        <w:rPr>
          <w:rFonts w:hint="eastAsia" w:ascii="黑体" w:hAnsi="黑体" w:eastAsia="黑体" w:cs="黑体"/>
          <w:bCs/>
          <w:kern w:val="0"/>
          <w:sz w:val="28"/>
          <w:szCs w:val="28"/>
        </w:rPr>
        <w:t>四、资助类别及结题要求</w:t>
      </w:r>
    </w:p>
    <w:p>
      <w:pPr>
        <w:spacing w:after="156" w:line="460" w:lineRule="exact"/>
        <w:ind w:firstLine="560" w:firstLineChars="200"/>
        <w:rPr>
          <w:rFonts w:ascii="仿宋_GB2312" w:hAnsi="宋体" w:eastAsia="仿宋_GB2312"/>
          <w:sz w:val="28"/>
          <w:szCs w:val="28"/>
        </w:rPr>
      </w:pPr>
      <w:r>
        <w:rPr>
          <w:rFonts w:hint="eastAsia" w:ascii="仿宋_GB2312" w:hAnsi="宋体" w:eastAsia="仿宋_GB2312"/>
          <w:sz w:val="28"/>
          <w:szCs w:val="28"/>
        </w:rPr>
        <w:t>本年度设重点项目和一般项目两类。</w:t>
      </w:r>
    </w:p>
    <w:p>
      <w:pPr>
        <w:spacing w:after="156" w:line="460" w:lineRule="exact"/>
        <w:ind w:firstLine="560" w:firstLineChars="200"/>
        <w:rPr>
          <w:rFonts w:ascii="仿宋_GB2312" w:hAnsi="宋体" w:eastAsia="仿宋_GB2312"/>
          <w:sz w:val="28"/>
          <w:szCs w:val="28"/>
        </w:rPr>
      </w:pPr>
      <w:r>
        <w:rPr>
          <w:rFonts w:hint="eastAsia" w:ascii="仿宋_GB2312" w:hAnsi="宋体" w:eastAsia="仿宋_GB2312"/>
          <w:sz w:val="28"/>
          <w:szCs w:val="28"/>
        </w:rPr>
        <w:t>（一）重点项目。资助额度2万∕项；以论文形式结题的，需在CSSCI类期刊发表学术论文1篇以上，或在全国中文核心期刊发表学术论文2篇以上；以研究报告（要报）形式结题的，要求研究报告字数2万字以上，且通过本中心专家鉴定或被地级市及其以上政府部门批复采纳；以专著形式结题的，要求提供查新检测报告（重复率不得超过15%），且先申报结项后再出版。</w:t>
      </w:r>
    </w:p>
    <w:p>
      <w:pPr>
        <w:spacing w:after="156" w:line="460" w:lineRule="exact"/>
        <w:ind w:firstLine="560" w:firstLineChars="200"/>
        <w:rPr>
          <w:rFonts w:ascii="仿宋_GB2312" w:hAnsi="宋体" w:eastAsia="仿宋_GB2312"/>
          <w:sz w:val="28"/>
          <w:szCs w:val="28"/>
        </w:rPr>
      </w:pPr>
      <w:r>
        <w:rPr>
          <w:rFonts w:hint="eastAsia" w:ascii="仿宋_GB2312" w:hAnsi="宋体" w:eastAsia="仿宋_GB2312"/>
          <w:sz w:val="28"/>
          <w:szCs w:val="28"/>
        </w:rPr>
        <w:t>（二）一般项目。资助额度0.8万元∕项；以论文、研究报告形式结题；需在全国中文核心期刊上发表学术论文1篇以上。</w:t>
      </w:r>
    </w:p>
    <w:p>
      <w:pPr>
        <w:spacing w:after="156" w:line="460" w:lineRule="exact"/>
        <w:ind w:firstLine="560" w:firstLineChars="200"/>
        <w:rPr>
          <w:rFonts w:ascii="仿宋_GB2312" w:hAnsi="宋体" w:eastAsia="仿宋_GB2312"/>
          <w:sz w:val="28"/>
          <w:szCs w:val="28"/>
        </w:rPr>
      </w:pPr>
      <w:r>
        <w:rPr>
          <w:rFonts w:hint="eastAsia" w:ascii="仿宋_GB2312" w:hAnsi="宋体" w:eastAsia="仿宋_GB2312"/>
          <w:sz w:val="28"/>
          <w:szCs w:val="28"/>
        </w:rPr>
        <w:t>（三）成果形式为研究报告、论文、专著等。研究报告、论文完成时限一般为1年，最长不超过2年；专著一般为2年，最长不得超过3年。年度重点项目一般为2年，最长不超过3年。除重要的基础研究外，鼓励以研究报告、论文为项目的最终成果形式。</w:t>
      </w:r>
    </w:p>
    <w:p>
      <w:pPr>
        <w:spacing w:after="156" w:line="460" w:lineRule="exact"/>
        <w:ind w:firstLine="560" w:firstLineChars="200"/>
        <w:rPr>
          <w:rFonts w:ascii="仿宋_GB2312" w:hAnsi="宋体" w:eastAsia="仿宋_GB2312"/>
          <w:sz w:val="28"/>
          <w:szCs w:val="28"/>
        </w:rPr>
      </w:pPr>
      <w:r>
        <w:rPr>
          <w:rFonts w:hint="eastAsia" w:ascii="仿宋_GB2312" w:hAnsi="宋体" w:eastAsia="仿宋_GB2312"/>
          <w:sz w:val="28"/>
          <w:szCs w:val="28"/>
        </w:rPr>
        <w:t>（四）各类项目成果发表、出版或上报时，须注明“四川省社会科学重点研究基地‘老龄事业与产业研究中心’资助及立项编号”，以此作为结项验收的依据之一。</w:t>
      </w:r>
    </w:p>
    <w:p>
      <w:pPr>
        <w:widowControl/>
        <w:spacing w:line="460" w:lineRule="exact"/>
        <w:ind w:firstLine="560" w:firstLineChars="200"/>
        <w:jc w:val="left"/>
        <w:rPr>
          <w:rFonts w:ascii="黑体" w:hAnsi="黑体" w:eastAsia="黑体" w:cs="黑体"/>
          <w:bCs/>
          <w:kern w:val="0"/>
          <w:sz w:val="28"/>
          <w:szCs w:val="28"/>
        </w:rPr>
      </w:pPr>
      <w:r>
        <w:rPr>
          <w:rFonts w:hint="eastAsia" w:ascii="黑体" w:hAnsi="黑体" w:eastAsia="黑体" w:cs="黑体"/>
          <w:bCs/>
          <w:kern w:val="0"/>
          <w:sz w:val="28"/>
          <w:szCs w:val="28"/>
        </w:rPr>
        <w:t>五、受理时间及要求</w:t>
      </w:r>
    </w:p>
    <w:p>
      <w:pPr>
        <w:spacing w:after="156" w:line="460" w:lineRule="exact"/>
        <w:ind w:firstLine="560" w:firstLineChars="200"/>
        <w:rPr>
          <w:rFonts w:ascii="仿宋_GB2312" w:hAnsi="宋体" w:eastAsia="仿宋_GB2312"/>
          <w:sz w:val="28"/>
          <w:szCs w:val="28"/>
        </w:rPr>
      </w:pPr>
      <w:r>
        <w:rPr>
          <w:rFonts w:hint="eastAsia" w:ascii="仿宋_GB2312" w:hAnsi="宋体" w:eastAsia="仿宋_GB2312"/>
          <w:sz w:val="28"/>
          <w:szCs w:val="28"/>
        </w:rPr>
        <w:t>1. 申报时间</w:t>
      </w:r>
    </w:p>
    <w:p>
      <w:pPr>
        <w:spacing w:after="156" w:line="460" w:lineRule="exact"/>
        <w:ind w:firstLine="560" w:firstLineChars="200"/>
        <w:rPr>
          <w:rFonts w:ascii="仿宋_GB2312" w:hAnsi="宋体" w:eastAsia="仿宋_GB2312"/>
          <w:sz w:val="28"/>
          <w:szCs w:val="28"/>
        </w:rPr>
      </w:pPr>
      <w:r>
        <w:rPr>
          <w:rFonts w:hint="eastAsia" w:ascii="仿宋_GB2312" w:hAnsi="宋体" w:eastAsia="仿宋_GB2312"/>
          <w:sz w:val="28"/>
          <w:szCs w:val="28"/>
        </w:rPr>
        <w:t>本年度项目申请受理时间从即日起至2019年5月10日（以邮寄邮戳为准）。申请单位应于截至日期前把审查合格的申请书和论证活页纸质文档（申报书和论证活页纸质文档均须 A3双面打印、中缝装订，每项一式5份，其中1份原件，4份复印件）与电子文档报送至“中心”，逾期不再受理。</w:t>
      </w:r>
    </w:p>
    <w:p>
      <w:pPr>
        <w:spacing w:after="156" w:line="460" w:lineRule="exact"/>
        <w:ind w:left="2241" w:leftChars="267" w:hanging="1680" w:hangingChars="600"/>
        <w:rPr>
          <w:rFonts w:ascii="仿宋_GB2312" w:hAnsi="宋体" w:eastAsia="仿宋_GB2312"/>
          <w:sz w:val="28"/>
          <w:szCs w:val="28"/>
        </w:rPr>
      </w:pPr>
      <w:r>
        <w:rPr>
          <w:rFonts w:hint="eastAsia" w:ascii="仿宋_GB2312" w:hAnsi="宋体" w:eastAsia="仿宋_GB2312"/>
          <w:sz w:val="28"/>
          <w:szCs w:val="28"/>
        </w:rPr>
        <w:t>2.邮寄地址：</w:t>
      </w:r>
      <w:r>
        <w:rPr>
          <w:rFonts w:hint="eastAsia" w:ascii="仿宋_GB2312" w:hAnsi="宋体" w:eastAsia="仿宋_GB2312"/>
          <w:sz w:val="28"/>
        </w:rPr>
        <w:t>成都市金牛区二环路北一段111号西南交通大学</w:t>
      </w:r>
      <w:r>
        <w:rPr>
          <w:rFonts w:hint="eastAsia" w:ascii="仿宋_GB2312" w:hAnsi="宋体" w:eastAsia="仿宋_GB2312"/>
          <w:sz w:val="28"/>
          <w:szCs w:val="28"/>
        </w:rPr>
        <w:t>老龄事业与产业研究中心</w:t>
      </w:r>
    </w:p>
    <w:p>
      <w:pPr>
        <w:spacing w:after="156" w:line="460" w:lineRule="exact"/>
        <w:ind w:firstLine="560" w:firstLineChars="200"/>
        <w:rPr>
          <w:rFonts w:ascii="仿宋_GB2312" w:hAnsi="宋体" w:eastAsia="仿宋_GB2312"/>
          <w:sz w:val="28"/>
          <w:szCs w:val="28"/>
        </w:rPr>
      </w:pPr>
      <w:r>
        <w:rPr>
          <w:rFonts w:hint="eastAsia" w:ascii="仿宋_GB2312" w:hAnsi="宋体" w:eastAsia="仿宋_GB2312"/>
          <w:sz w:val="28"/>
          <w:szCs w:val="28"/>
        </w:rPr>
        <w:t>邮    编：610031</w:t>
      </w:r>
      <w:bookmarkStart w:id="0" w:name="_GoBack"/>
      <w:bookmarkEnd w:id="0"/>
    </w:p>
    <w:p>
      <w:pPr>
        <w:spacing w:after="156" w:line="460" w:lineRule="exact"/>
        <w:ind w:firstLine="560" w:firstLineChars="200"/>
        <w:rPr>
          <w:rFonts w:ascii="仿宋_GB2312" w:hAnsi="宋体" w:eastAsia="仿宋_GB2312"/>
          <w:sz w:val="28"/>
          <w:szCs w:val="28"/>
        </w:rPr>
      </w:pPr>
      <w:r>
        <w:rPr>
          <w:rFonts w:hint="eastAsia" w:ascii="仿宋_GB2312" w:hAnsi="宋体" w:eastAsia="仿宋_GB2312"/>
          <w:sz w:val="28"/>
          <w:szCs w:val="28"/>
        </w:rPr>
        <w:t>联系电话：13678147827</w:t>
      </w:r>
    </w:p>
    <w:p>
      <w:pPr>
        <w:spacing w:line="380" w:lineRule="exact"/>
        <w:ind w:firstLine="560" w:firstLineChars="200"/>
        <w:rPr>
          <w:rFonts w:ascii="宋体"/>
          <w:sz w:val="24"/>
          <w:szCs w:val="22"/>
        </w:rPr>
      </w:pPr>
      <w:r>
        <w:rPr>
          <w:rFonts w:hint="eastAsia" w:ascii="仿宋_GB2312" w:hAnsi="宋体" w:eastAsia="仿宋_GB2312"/>
          <w:sz w:val="28"/>
          <w:szCs w:val="28"/>
        </w:rPr>
        <w:t>电子邮箱：</w:t>
      </w:r>
      <w:r>
        <w:rPr>
          <w:rFonts w:ascii="Vijaya" w:hAnsi="Vijaya" w:cs="Vijaya"/>
          <w:sz w:val="28"/>
          <w:szCs w:val="28"/>
        </w:rPr>
        <w:t>llsy</w:t>
      </w:r>
      <w:r>
        <w:fldChar w:fldCharType="begin"/>
      </w:r>
      <w:r>
        <w:instrText xml:space="preserve"> HYPERLINK "mailto:LLSY@swjtu.edu.cn" </w:instrText>
      </w:r>
      <w:r>
        <w:fldChar w:fldCharType="separate"/>
      </w:r>
      <w:r>
        <w:rPr>
          <w:rFonts w:hint="eastAsia" w:ascii="宋体"/>
          <w:sz w:val="24"/>
          <w:szCs w:val="22"/>
        </w:rPr>
        <w:t>@swjtu.edu.cn</w:t>
      </w:r>
      <w:r>
        <w:rPr>
          <w:rFonts w:hint="eastAsia" w:ascii="宋体"/>
          <w:sz w:val="24"/>
          <w:szCs w:val="22"/>
        </w:rPr>
        <w:fldChar w:fldCharType="end"/>
      </w:r>
    </w:p>
    <w:p>
      <w:pPr>
        <w:spacing w:after="156" w:line="460" w:lineRule="exact"/>
        <w:ind w:firstLine="560" w:firstLineChars="200"/>
        <w:rPr>
          <w:rFonts w:ascii="仿宋_GB2312" w:hAnsi="宋体" w:eastAsia="仿宋_GB2312"/>
          <w:sz w:val="28"/>
          <w:szCs w:val="28"/>
        </w:rPr>
      </w:pPr>
      <w:r>
        <w:rPr>
          <w:rFonts w:hint="eastAsia" w:ascii="仿宋_GB2312" w:hAnsi="宋体" w:eastAsia="仿宋_GB2312"/>
          <w:sz w:val="28"/>
          <w:szCs w:val="28"/>
        </w:rPr>
        <w:t>联系人： 申</w:t>
      </w: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rPr>
        <w:t>瑢</w:t>
      </w:r>
    </w:p>
    <w:p>
      <w:pPr>
        <w:spacing w:after="156" w:line="4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附件：</w:t>
      </w:r>
      <w:r>
        <w:rPr>
          <w:rFonts w:hint="eastAsia" w:ascii="仿宋_GB2312" w:hAnsi="宋体" w:eastAsia="仿宋_GB2312"/>
          <w:sz w:val="28"/>
          <w:szCs w:val="28"/>
          <w:lang w:val="en-US" w:eastAsia="zh-CN"/>
        </w:rPr>
        <w:t>1.</w:t>
      </w:r>
      <w:r>
        <w:rPr>
          <w:rFonts w:hint="eastAsia" w:ascii="仿宋_GB2312" w:hAnsi="宋体" w:eastAsia="仿宋_GB2312"/>
          <w:sz w:val="28"/>
          <w:szCs w:val="28"/>
        </w:rPr>
        <w:t>老龄事业与产业研究中心2019年度课题申报指南</w:t>
      </w:r>
    </w:p>
    <w:p>
      <w:pPr>
        <w:numPr>
          <w:ilvl w:val="0"/>
          <w:numId w:val="0"/>
        </w:numPr>
        <w:spacing w:after="156" w:line="460" w:lineRule="exact"/>
        <w:ind w:left="1400" w:leftChars="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2.基地项目管理办法</w:t>
      </w:r>
    </w:p>
    <w:p>
      <w:pPr>
        <w:numPr>
          <w:ilvl w:val="0"/>
          <w:numId w:val="0"/>
        </w:numPr>
        <w:spacing w:after="156" w:line="460" w:lineRule="exact"/>
        <w:ind w:left="1400" w:leftChars="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3.申请书</w:t>
      </w:r>
    </w:p>
    <w:p>
      <w:pPr>
        <w:numPr>
          <w:ilvl w:val="0"/>
          <w:numId w:val="0"/>
        </w:numPr>
        <w:spacing w:after="156" w:line="460" w:lineRule="exact"/>
        <w:ind w:left="1400" w:leftChars="0"/>
        <w:rPr>
          <w:rFonts w:hint="default" w:ascii="仿宋_GB2312" w:hAnsi="宋体" w:eastAsia="仿宋_GB2312"/>
          <w:sz w:val="28"/>
          <w:szCs w:val="28"/>
          <w:lang w:val="en-US" w:eastAsia="zh-CN"/>
        </w:rPr>
      </w:pPr>
      <w:r>
        <w:rPr>
          <w:rFonts w:hint="eastAsia" w:ascii="仿宋_GB2312" w:hAnsi="宋体" w:eastAsia="仿宋_GB2312"/>
          <w:sz w:val="28"/>
          <w:szCs w:val="28"/>
          <w:lang w:val="en-US" w:eastAsia="zh-CN"/>
        </w:rPr>
        <w:t>4.论证活页</w:t>
      </w:r>
    </w:p>
    <w:p>
      <w:pPr>
        <w:spacing w:after="156" w:line="460" w:lineRule="exact"/>
        <w:ind w:firstLine="560" w:firstLineChars="200"/>
        <w:rPr>
          <w:rFonts w:ascii="仿宋_GB2312" w:hAnsi="宋体" w:eastAsia="仿宋_GB2312"/>
          <w:sz w:val="28"/>
          <w:szCs w:val="28"/>
        </w:rPr>
      </w:pPr>
    </w:p>
    <w:p>
      <w:pPr>
        <w:spacing w:after="156" w:line="460" w:lineRule="exact"/>
        <w:ind w:firstLine="560" w:firstLineChars="200"/>
        <w:jc w:val="right"/>
        <w:rPr>
          <w:rFonts w:ascii="仿宋_GB2312" w:hAnsi="宋体" w:eastAsia="仿宋_GB2312"/>
          <w:sz w:val="28"/>
          <w:szCs w:val="28"/>
        </w:rPr>
      </w:pPr>
      <w:r>
        <w:rPr>
          <w:rFonts w:hint="eastAsia" w:ascii="仿宋_GB2312" w:hAnsi="宋体" w:eastAsia="仿宋_GB2312"/>
          <w:sz w:val="28"/>
          <w:szCs w:val="28"/>
        </w:rPr>
        <w:t>老龄事业与产业研究中心</w:t>
      </w:r>
    </w:p>
    <w:p>
      <w:pPr>
        <w:spacing w:after="156" w:line="460" w:lineRule="exact"/>
        <w:ind w:firstLine="560" w:firstLineChars="200"/>
        <w:jc w:val="center"/>
        <w:rPr>
          <w:rFonts w:ascii="仿宋_GB2312" w:hAnsi="宋体" w:eastAsia="仿宋_GB2312"/>
          <w:sz w:val="28"/>
          <w:szCs w:val="28"/>
        </w:rPr>
      </w:pPr>
      <w:r>
        <w:rPr>
          <w:rFonts w:hint="eastAsia" w:ascii="仿宋_GB2312" w:hAnsi="宋体" w:eastAsia="仿宋_GB2312"/>
          <w:sz w:val="28"/>
          <w:szCs w:val="28"/>
          <w:lang w:val="en-US" w:eastAsia="zh-CN"/>
        </w:rPr>
        <w:t xml:space="preserve">                                </w:t>
      </w:r>
      <w:r>
        <w:rPr>
          <w:rFonts w:hint="eastAsia" w:ascii="仿宋_GB2312" w:hAnsi="宋体" w:eastAsia="仿宋_GB2312"/>
          <w:sz w:val="28"/>
          <w:szCs w:val="28"/>
        </w:rPr>
        <w:t>2019年4月</w:t>
      </w:r>
      <w:r>
        <w:rPr>
          <w:rFonts w:hint="eastAsia" w:ascii="仿宋_GB2312" w:hAnsi="宋体" w:eastAsia="仿宋_GB2312"/>
          <w:sz w:val="28"/>
          <w:szCs w:val="28"/>
          <w:lang w:val="en-US" w:eastAsia="zh-CN"/>
        </w:rPr>
        <w:t>11</w:t>
      </w:r>
      <w:r>
        <w:rPr>
          <w:rFonts w:hint="eastAsia" w:ascii="仿宋_GB2312" w:hAnsi="宋体" w:eastAsia="仿宋_GB2312"/>
          <w:sz w:val="28"/>
          <w:szCs w:val="28"/>
        </w:rPr>
        <w:t>日</w:t>
      </w:r>
    </w:p>
    <w:p>
      <w:pPr>
        <w:spacing w:line="460" w:lineRule="exact"/>
        <w:rPr>
          <w:b/>
          <w:sz w:val="30"/>
          <w:szCs w:val="3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Vijaya">
    <w:panose1 w:val="020B0604020202020204"/>
    <w:charset w:val="00"/>
    <w:family w:val="swiss"/>
    <w:pitch w:val="default"/>
    <w:sig w:usb0="001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515A"/>
    <w:rsid w:val="00067A45"/>
    <w:rsid w:val="000A0988"/>
    <w:rsid w:val="000A6283"/>
    <w:rsid w:val="000C70AE"/>
    <w:rsid w:val="000D4849"/>
    <w:rsid w:val="00114578"/>
    <w:rsid w:val="00134393"/>
    <w:rsid w:val="00156AAD"/>
    <w:rsid w:val="001C0D18"/>
    <w:rsid w:val="001D0555"/>
    <w:rsid w:val="00232A9B"/>
    <w:rsid w:val="00296A98"/>
    <w:rsid w:val="002A442C"/>
    <w:rsid w:val="002B3084"/>
    <w:rsid w:val="002E4604"/>
    <w:rsid w:val="00343951"/>
    <w:rsid w:val="00353C2D"/>
    <w:rsid w:val="003637BB"/>
    <w:rsid w:val="0037126D"/>
    <w:rsid w:val="00397739"/>
    <w:rsid w:val="00455E66"/>
    <w:rsid w:val="00494722"/>
    <w:rsid w:val="004D6791"/>
    <w:rsid w:val="004E4D55"/>
    <w:rsid w:val="005213DE"/>
    <w:rsid w:val="005243EA"/>
    <w:rsid w:val="005477FA"/>
    <w:rsid w:val="00551B5C"/>
    <w:rsid w:val="00554BB0"/>
    <w:rsid w:val="005831E6"/>
    <w:rsid w:val="005907D4"/>
    <w:rsid w:val="00594D98"/>
    <w:rsid w:val="005C3E52"/>
    <w:rsid w:val="005C4DFB"/>
    <w:rsid w:val="005E50E0"/>
    <w:rsid w:val="00640EFF"/>
    <w:rsid w:val="00705A66"/>
    <w:rsid w:val="00765CAD"/>
    <w:rsid w:val="007A417A"/>
    <w:rsid w:val="007C16A7"/>
    <w:rsid w:val="007C4AC4"/>
    <w:rsid w:val="007D1C3D"/>
    <w:rsid w:val="007F584E"/>
    <w:rsid w:val="0081331E"/>
    <w:rsid w:val="00877D66"/>
    <w:rsid w:val="00895E45"/>
    <w:rsid w:val="008B4E5A"/>
    <w:rsid w:val="008C44A0"/>
    <w:rsid w:val="00904113"/>
    <w:rsid w:val="00907F0B"/>
    <w:rsid w:val="00915F87"/>
    <w:rsid w:val="00950847"/>
    <w:rsid w:val="00953186"/>
    <w:rsid w:val="0097515A"/>
    <w:rsid w:val="009950E2"/>
    <w:rsid w:val="009963C6"/>
    <w:rsid w:val="00997B91"/>
    <w:rsid w:val="009C5DA2"/>
    <w:rsid w:val="009E40F2"/>
    <w:rsid w:val="00A24562"/>
    <w:rsid w:val="00A344EC"/>
    <w:rsid w:val="00A5174C"/>
    <w:rsid w:val="00A5532B"/>
    <w:rsid w:val="00A867F6"/>
    <w:rsid w:val="00AE3330"/>
    <w:rsid w:val="00BD00F0"/>
    <w:rsid w:val="00C07086"/>
    <w:rsid w:val="00C21D45"/>
    <w:rsid w:val="00C24079"/>
    <w:rsid w:val="00C43694"/>
    <w:rsid w:val="00C870CD"/>
    <w:rsid w:val="00CA2985"/>
    <w:rsid w:val="00CB76DD"/>
    <w:rsid w:val="00D46AFD"/>
    <w:rsid w:val="00D74A7B"/>
    <w:rsid w:val="00DC227D"/>
    <w:rsid w:val="00E644E4"/>
    <w:rsid w:val="00E677BA"/>
    <w:rsid w:val="00E757E4"/>
    <w:rsid w:val="00F04762"/>
    <w:rsid w:val="00F132CE"/>
    <w:rsid w:val="00F85FEA"/>
    <w:rsid w:val="00F94FD7"/>
    <w:rsid w:val="00FB084E"/>
    <w:rsid w:val="00FE6BB6"/>
    <w:rsid w:val="03003743"/>
    <w:rsid w:val="030312CB"/>
    <w:rsid w:val="03666B6A"/>
    <w:rsid w:val="09400AFD"/>
    <w:rsid w:val="09A027C5"/>
    <w:rsid w:val="09C37176"/>
    <w:rsid w:val="0A21773A"/>
    <w:rsid w:val="0AD04F31"/>
    <w:rsid w:val="0BA95D58"/>
    <w:rsid w:val="0C2B2A33"/>
    <w:rsid w:val="0E012F73"/>
    <w:rsid w:val="0E326984"/>
    <w:rsid w:val="0F88517C"/>
    <w:rsid w:val="102B2216"/>
    <w:rsid w:val="114E2ED1"/>
    <w:rsid w:val="13362CE5"/>
    <w:rsid w:val="14475E70"/>
    <w:rsid w:val="149D2DB3"/>
    <w:rsid w:val="14BC3353"/>
    <w:rsid w:val="14C460E0"/>
    <w:rsid w:val="16A3348B"/>
    <w:rsid w:val="171169F0"/>
    <w:rsid w:val="17AF7107"/>
    <w:rsid w:val="1DEB1DE5"/>
    <w:rsid w:val="1F0F3797"/>
    <w:rsid w:val="1F3B07A1"/>
    <w:rsid w:val="20DA31E5"/>
    <w:rsid w:val="22D879E8"/>
    <w:rsid w:val="25F21582"/>
    <w:rsid w:val="27264B6E"/>
    <w:rsid w:val="283454CE"/>
    <w:rsid w:val="285E0B70"/>
    <w:rsid w:val="28CD0200"/>
    <w:rsid w:val="2A276B14"/>
    <w:rsid w:val="2A800CBA"/>
    <w:rsid w:val="2B6E38C3"/>
    <w:rsid w:val="2BF064F4"/>
    <w:rsid w:val="2EE13F1D"/>
    <w:rsid w:val="315318D5"/>
    <w:rsid w:val="31B23883"/>
    <w:rsid w:val="32E9181A"/>
    <w:rsid w:val="32F41D64"/>
    <w:rsid w:val="3403787A"/>
    <w:rsid w:val="39D27067"/>
    <w:rsid w:val="3A5D7BA1"/>
    <w:rsid w:val="3A90620E"/>
    <w:rsid w:val="3B28376E"/>
    <w:rsid w:val="3BFD4FCB"/>
    <w:rsid w:val="3D563107"/>
    <w:rsid w:val="3D655583"/>
    <w:rsid w:val="3E654961"/>
    <w:rsid w:val="3F8D3448"/>
    <w:rsid w:val="4053691D"/>
    <w:rsid w:val="40A2123F"/>
    <w:rsid w:val="40DF77B4"/>
    <w:rsid w:val="40E41280"/>
    <w:rsid w:val="4111789F"/>
    <w:rsid w:val="41E757CC"/>
    <w:rsid w:val="43B436C6"/>
    <w:rsid w:val="448F6B7C"/>
    <w:rsid w:val="462D6331"/>
    <w:rsid w:val="46ED787E"/>
    <w:rsid w:val="48B32669"/>
    <w:rsid w:val="49A6054B"/>
    <w:rsid w:val="4AC11B2B"/>
    <w:rsid w:val="4B0219E8"/>
    <w:rsid w:val="4B725DAC"/>
    <w:rsid w:val="4D223D6F"/>
    <w:rsid w:val="4E532839"/>
    <w:rsid w:val="50130A42"/>
    <w:rsid w:val="513E35D2"/>
    <w:rsid w:val="51991F56"/>
    <w:rsid w:val="53891ADF"/>
    <w:rsid w:val="53EC3F44"/>
    <w:rsid w:val="54646664"/>
    <w:rsid w:val="54E167C1"/>
    <w:rsid w:val="55841237"/>
    <w:rsid w:val="56FB5DBC"/>
    <w:rsid w:val="5AA0608F"/>
    <w:rsid w:val="5AC21F8F"/>
    <w:rsid w:val="5B192F81"/>
    <w:rsid w:val="5C81240B"/>
    <w:rsid w:val="5D5E7CBC"/>
    <w:rsid w:val="5DDE3700"/>
    <w:rsid w:val="5E251BA3"/>
    <w:rsid w:val="609317D4"/>
    <w:rsid w:val="60FF21F8"/>
    <w:rsid w:val="610E0A49"/>
    <w:rsid w:val="620C4E62"/>
    <w:rsid w:val="63BA23AF"/>
    <w:rsid w:val="649873C3"/>
    <w:rsid w:val="64CA027F"/>
    <w:rsid w:val="697C7E8E"/>
    <w:rsid w:val="6C7E06A3"/>
    <w:rsid w:val="6CD46D6A"/>
    <w:rsid w:val="6ED30C20"/>
    <w:rsid w:val="6FBC3A66"/>
    <w:rsid w:val="725C18D3"/>
    <w:rsid w:val="727E2BCE"/>
    <w:rsid w:val="75BD029A"/>
    <w:rsid w:val="769A053E"/>
    <w:rsid w:val="7717191A"/>
    <w:rsid w:val="7A4D3533"/>
    <w:rsid w:val="7BBC6BDC"/>
    <w:rsid w:val="7C612A03"/>
    <w:rsid w:val="7D70635F"/>
    <w:rsid w:val="7DF07C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alloon Text"/>
    <w:basedOn w:val="1"/>
    <w:link w:val="14"/>
    <w:qFormat/>
    <w:uiPriority w:val="0"/>
    <w:rPr>
      <w:sz w:val="18"/>
      <w:szCs w:val="18"/>
    </w:rPr>
  </w:style>
  <w:style w:type="paragraph" w:styleId="4">
    <w:name w:val="footer"/>
    <w:basedOn w:val="1"/>
    <w:link w:val="16"/>
    <w:qFormat/>
    <w:uiPriority w:val="0"/>
    <w:pPr>
      <w:tabs>
        <w:tab w:val="center" w:pos="4153"/>
        <w:tab w:val="right" w:pos="8306"/>
      </w:tabs>
      <w:snapToGrid w:val="0"/>
      <w:jc w:val="left"/>
    </w:pPr>
    <w:rPr>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qFormat/>
    <w:uiPriority w:val="0"/>
    <w:rPr>
      <w:b/>
      <w:bCs/>
    </w:rPr>
  </w:style>
  <w:style w:type="character" w:styleId="9">
    <w:name w:val="Hyperlink"/>
    <w:qFormat/>
    <w:uiPriority w:val="0"/>
    <w:rPr>
      <w:color w:val="0000FF"/>
      <w:u w:val="single"/>
    </w:rPr>
  </w:style>
  <w:style w:type="character" w:styleId="10">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12">
    <w:name w:val="未处理的提及"/>
    <w:unhideWhenUsed/>
    <w:qFormat/>
    <w:uiPriority w:val="99"/>
    <w:rPr>
      <w:color w:val="605E5C"/>
      <w:shd w:val="clear" w:color="auto" w:fill="E1DFDD"/>
    </w:rPr>
  </w:style>
  <w:style w:type="character" w:customStyle="1" w:styleId="13">
    <w:name w:val="批注文字 Char"/>
    <w:link w:val="2"/>
    <w:qFormat/>
    <w:uiPriority w:val="0"/>
    <w:rPr>
      <w:kern w:val="2"/>
      <w:sz w:val="21"/>
      <w:szCs w:val="24"/>
    </w:rPr>
  </w:style>
  <w:style w:type="character" w:customStyle="1" w:styleId="14">
    <w:name w:val="批注框文本 Char"/>
    <w:link w:val="3"/>
    <w:qFormat/>
    <w:uiPriority w:val="0"/>
    <w:rPr>
      <w:kern w:val="2"/>
      <w:sz w:val="18"/>
      <w:szCs w:val="18"/>
    </w:rPr>
  </w:style>
  <w:style w:type="character" w:customStyle="1" w:styleId="15">
    <w:name w:val="页眉 Char"/>
    <w:link w:val="5"/>
    <w:qFormat/>
    <w:uiPriority w:val="0"/>
    <w:rPr>
      <w:rFonts w:ascii="Calibri" w:hAnsi="Calibri"/>
      <w:kern w:val="2"/>
      <w:sz w:val="18"/>
      <w:szCs w:val="18"/>
    </w:rPr>
  </w:style>
  <w:style w:type="character" w:customStyle="1" w:styleId="16">
    <w:name w:val="页脚 Char"/>
    <w:link w:val="4"/>
    <w:qFormat/>
    <w:uiPriority w:val="0"/>
    <w:rPr>
      <w:rFonts w:ascii="Calibri" w:hAnsi="Calibri"/>
      <w:kern w:val="2"/>
      <w:sz w:val="18"/>
      <w:szCs w:val="18"/>
    </w:rPr>
  </w:style>
  <w:style w:type="character" w:customStyle="1" w:styleId="17">
    <w:name w:val="批注主题 Char"/>
    <w:link w:val="6"/>
    <w:qFormat/>
    <w:uiPriority w:val="0"/>
    <w:rPr>
      <w:b/>
      <w:bCs/>
      <w:kern w:val="2"/>
      <w:sz w:val="21"/>
      <w:szCs w:val="24"/>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397</Words>
  <Characters>2264</Characters>
  <Lines>18</Lines>
  <Paragraphs>5</Paragraphs>
  <TotalTime>45</TotalTime>
  <ScaleCrop>false</ScaleCrop>
  <LinksUpToDate>false</LinksUpToDate>
  <CharactersWithSpaces>2656</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2019-04-10T08:06:00Z</dcterms:created>
  <dc:creator>Administrator</dc:creator>
  <cp:lastModifiedBy>lb</cp:lastModifiedBy>
  <cp:lastPrinted>2019-01-28T11:07:00Z</cp:lastPrinted>
  <dcterms:modified xsi:type="dcterms:W3CDTF">2019-04-11T03:31:55Z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