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40" w:lineRule="exact"/>
        <w:jc w:val="center"/>
        <w:outlineLvl w:val="1"/>
        <w:rPr>
          <w:rFonts w:ascii="方正小标宋简体" w:hAnsi="宋体" w:eastAsia="方正小标宋简体" w:cs="宋体"/>
          <w:b/>
          <w:bCs/>
          <w:color w:val="000000" w:themeColor="text1"/>
          <w:kern w:val="36"/>
          <w:sz w:val="39"/>
          <w:szCs w:val="39"/>
          <w14:textFill>
            <w14:solidFill>
              <w14:schemeClr w14:val="tx1"/>
            </w14:solidFill>
          </w14:textFill>
        </w:rPr>
      </w:pPr>
      <w:bookmarkStart w:id="0" w:name="_GoBack"/>
      <w:bookmarkEnd w:id="0"/>
    </w:p>
    <w:p>
      <w:pPr>
        <w:widowControl/>
        <w:spacing w:before="100" w:beforeAutospacing="1" w:after="100" w:afterAutospacing="1" w:line="680" w:lineRule="exact"/>
        <w:jc w:val="center"/>
        <w:outlineLvl w:val="1"/>
        <w:rPr>
          <w:rFonts w:ascii="方正小标宋简体" w:hAnsi="宋体" w:eastAsia="方正小标宋简体" w:cs="宋体"/>
          <w:b/>
          <w:bCs/>
          <w:color w:val="000000" w:themeColor="text1"/>
          <w:kern w:val="36"/>
          <w:sz w:val="44"/>
          <w:szCs w:val="44"/>
          <w14:textFill>
            <w14:solidFill>
              <w14:schemeClr w14:val="tx1"/>
            </w14:solidFill>
          </w14:textFill>
        </w:rPr>
      </w:pPr>
      <w:r>
        <w:rPr>
          <w:rFonts w:hint="eastAsia" w:ascii="方正小标宋简体" w:hAnsi="宋体" w:eastAsia="方正小标宋简体" w:cs="宋体"/>
          <w:b/>
          <w:bCs/>
          <w:color w:val="000000" w:themeColor="text1"/>
          <w:kern w:val="36"/>
          <w:sz w:val="44"/>
          <w:szCs w:val="44"/>
          <w14:textFill>
            <w14:solidFill>
              <w14:schemeClr w14:val="tx1"/>
            </w14:solidFill>
          </w14:textFill>
        </w:rPr>
        <w:t>达州市党内法规研究中心</w:t>
      </w:r>
    </w:p>
    <w:p>
      <w:pPr>
        <w:widowControl/>
        <w:spacing w:before="100" w:beforeAutospacing="1" w:after="100" w:afterAutospacing="1" w:line="680" w:lineRule="exact"/>
        <w:jc w:val="center"/>
        <w:outlineLvl w:val="1"/>
        <w:rPr>
          <w:rFonts w:ascii="方正小标宋简体" w:hAnsi="宋体" w:eastAsia="方正小标宋简体" w:cs="宋体"/>
          <w:b/>
          <w:bCs/>
          <w:color w:val="000000" w:themeColor="text1"/>
          <w:kern w:val="36"/>
          <w:sz w:val="44"/>
          <w:szCs w:val="44"/>
          <w14:textFill>
            <w14:solidFill>
              <w14:schemeClr w14:val="tx1"/>
            </w14:solidFill>
          </w14:textFill>
        </w:rPr>
      </w:pPr>
      <w:r>
        <w:rPr>
          <w:rFonts w:hint="eastAsia" w:ascii="方正小标宋简体" w:hAnsi="宋体" w:eastAsia="方正小标宋简体" w:cs="宋体"/>
          <w:b/>
          <w:bCs/>
          <w:color w:val="000000" w:themeColor="text1"/>
          <w:kern w:val="36"/>
          <w:sz w:val="44"/>
          <w:szCs w:val="44"/>
          <w14:textFill>
            <w14:solidFill>
              <w14:schemeClr w14:val="tx1"/>
            </w14:solidFill>
          </w14:textFill>
        </w:rPr>
        <w:t>2020年度项目申报公告</w:t>
      </w:r>
    </w:p>
    <w:p>
      <w:pPr>
        <w:widowControl/>
        <w:spacing w:before="100" w:beforeAutospacing="1" w:after="100" w:afterAutospacing="1" w:line="240" w:lineRule="exact"/>
        <w:jc w:val="center"/>
        <w:outlineLvl w:val="1"/>
        <w:rPr>
          <w:rFonts w:ascii="方正小标宋简体" w:hAnsi="宋体" w:eastAsia="方正小标宋简体" w:cs="宋体"/>
          <w:b/>
          <w:bCs/>
          <w:color w:val="000000" w:themeColor="text1"/>
          <w:kern w:val="36"/>
          <w:sz w:val="44"/>
          <w:szCs w:val="44"/>
          <w14:textFill>
            <w14:solidFill>
              <w14:schemeClr w14:val="tx1"/>
            </w14:solidFill>
          </w14:textFill>
        </w:rPr>
      </w:pPr>
    </w:p>
    <w:p>
      <w:pPr>
        <w:pStyle w:val="2"/>
        <w:widowControl w:val="0"/>
        <w:shd w:val="clear" w:color="auto" w:fill="FFFFFF"/>
        <w:spacing w:before="0" w:beforeAutospacing="0" w:after="0" w:afterAutospacing="0" w:line="578" w:lineRule="exact"/>
        <w:ind w:firstLine="640" w:firstLineChars="200"/>
        <w:jc w:val="both"/>
        <w:rPr>
          <w:rFonts w:ascii="仿宋_GB2312" w:eastAsia="仿宋_GB2312"/>
          <w:b w:val="0"/>
          <w:kern w:val="0"/>
          <w:sz w:val="32"/>
          <w:szCs w:val="32"/>
        </w:rPr>
      </w:pPr>
      <w:r>
        <w:rPr>
          <w:rFonts w:hint="eastAsia" w:ascii="仿宋_GB2312" w:hAnsi="仿宋" w:eastAsia="仿宋_GB2312"/>
          <w:b w:val="0"/>
          <w:bCs w:val="0"/>
          <w:color w:val="000000" w:themeColor="text1"/>
          <w:sz w:val="32"/>
          <w:szCs w:val="32"/>
          <w14:textFill>
            <w14:solidFill>
              <w14:schemeClr w14:val="tx1"/>
            </w14:solidFill>
          </w14:textFill>
        </w:rPr>
        <w:t>达州市党内法规研究中心（以下简称研究中心）是中共达州市委和中共四川文理学院委员会联合共建的学术研究机构。</w:t>
      </w:r>
      <w:r>
        <w:rPr>
          <w:rFonts w:hint="eastAsia" w:ascii="仿宋_GB2312" w:eastAsia="仿宋_GB2312"/>
          <w:b w:val="0"/>
          <w:color w:val="000000" w:themeColor="text1"/>
          <w:sz w:val="32"/>
          <w:szCs w:val="32"/>
          <w14:textFill>
            <w14:solidFill>
              <w14:schemeClr w14:val="tx1"/>
            </w14:solidFill>
          </w14:textFill>
        </w:rPr>
        <w:t>主要承担党内法规基础理论和应用理论研究、对策研究、人才培养、教育培训和学术交流等基本任务。研究中心致力</w:t>
      </w:r>
      <w:r>
        <w:rPr>
          <w:rFonts w:hint="eastAsia" w:ascii="仿宋_GB2312" w:hAnsi="仿宋" w:eastAsia="仿宋_GB2312" w:cs="Times New Roman"/>
          <w:b w:val="0"/>
          <w:kern w:val="2"/>
          <w:sz w:val="32"/>
          <w:szCs w:val="32"/>
        </w:rPr>
        <w:t>建成全省党内法规研究高端智库、党内法规理论研究和创新基地、党内法规制度教育培训与人才培养基地。经研究中心主任工作会议讨论通过，</w:t>
      </w:r>
      <w:r>
        <w:rPr>
          <w:rFonts w:hint="eastAsia" w:ascii="仿宋_GB2312" w:eastAsia="仿宋_GB2312"/>
          <w:b w:val="0"/>
          <w:kern w:val="0"/>
          <w:sz w:val="32"/>
          <w:szCs w:val="32"/>
        </w:rPr>
        <w:t>2020年度中心项目的申报工作正式启动。现将项目申报有关事项公告如下：</w:t>
      </w:r>
    </w:p>
    <w:p>
      <w:pPr>
        <w:pStyle w:val="2"/>
        <w:widowControl w:val="0"/>
        <w:shd w:val="clear" w:color="auto" w:fill="FFFFFF"/>
        <w:spacing w:before="0" w:beforeAutospacing="0" w:after="0" w:afterAutospacing="0" w:line="578" w:lineRule="exact"/>
        <w:ind w:firstLine="641" w:firstLineChars="200"/>
        <w:jc w:val="both"/>
        <w:rPr>
          <w:rFonts w:ascii="黑体" w:hAnsi="仿宋" w:eastAsia="黑体" w:cs="Times New Roman"/>
          <w:kern w:val="2"/>
          <w:sz w:val="32"/>
          <w:szCs w:val="32"/>
        </w:rPr>
      </w:pPr>
      <w:r>
        <w:rPr>
          <w:rFonts w:hint="eastAsia" w:ascii="黑体" w:eastAsia="黑体"/>
          <w:kern w:val="0"/>
          <w:sz w:val="32"/>
          <w:szCs w:val="32"/>
        </w:rPr>
        <w:t>一、指导原则</w:t>
      </w:r>
    </w:p>
    <w:p>
      <w:pPr>
        <w:pStyle w:val="2"/>
        <w:widowControl w:val="0"/>
        <w:shd w:val="clear" w:color="auto" w:fill="FFFFFF"/>
        <w:spacing w:before="0" w:beforeAutospacing="0" w:after="0" w:afterAutospacing="0" w:line="578" w:lineRule="exact"/>
        <w:ind w:firstLine="640" w:firstLineChars="200"/>
        <w:jc w:val="both"/>
        <w:rPr>
          <w:rFonts w:ascii="仿宋_GB2312" w:hAnsi="微软雅黑" w:eastAsia="仿宋_GB2312"/>
          <w:b w:val="0"/>
          <w:color w:val="000000" w:themeColor="text1"/>
          <w:sz w:val="32"/>
          <w:szCs w:val="32"/>
          <w14:textFill>
            <w14:solidFill>
              <w14:schemeClr w14:val="tx1"/>
            </w14:solidFill>
          </w14:textFill>
        </w:rPr>
      </w:pPr>
      <w:r>
        <w:rPr>
          <w:rFonts w:hint="eastAsia" w:ascii="仿宋_GB2312" w:hAnsi="仿宋" w:eastAsia="仿宋_GB2312" w:cs="Times New Roman"/>
          <w:b w:val="0"/>
          <w:color w:val="000000" w:themeColor="text1"/>
          <w:kern w:val="2"/>
          <w:sz w:val="32"/>
          <w:szCs w:val="32"/>
          <w14:textFill>
            <w14:solidFill>
              <w14:schemeClr w14:val="tx1"/>
            </w14:solidFill>
          </w14:textFill>
        </w:rPr>
        <w:t>达州市党内法规研究中心研究项目的指导原则是：立足于服务全面推进党的建设新的伟大工程，服务于全面从严治党、依规治党，服务于推进国家治理体系和治理能力现代化，服务国家战略和达州市经济社会发展，贯彻落实中国特色社会主义法治理论和中央关于</w:t>
      </w:r>
      <w:r>
        <w:rPr>
          <w:rFonts w:hint="eastAsia" w:ascii="仿宋_GB2312" w:hAnsi="微软雅黑" w:eastAsia="仿宋_GB2312"/>
          <w:b w:val="0"/>
          <w:color w:val="000000" w:themeColor="text1"/>
          <w:sz w:val="32"/>
          <w:szCs w:val="32"/>
          <w14:textFill>
            <w14:solidFill>
              <w14:schemeClr w14:val="tx1"/>
            </w14:solidFill>
          </w14:textFill>
        </w:rPr>
        <w:t>加强党内法规制度建设的总体要求，不断深化和拓展党内法规理论和实践研究，</w:t>
      </w:r>
      <w:r>
        <w:rPr>
          <w:rFonts w:hint="eastAsia" w:ascii="仿宋_GB2312" w:hAnsi="仿宋" w:eastAsia="仿宋_GB2312" w:cs="Times New Roman"/>
          <w:b w:val="0"/>
          <w:color w:val="000000" w:themeColor="text1"/>
          <w:kern w:val="2"/>
          <w:sz w:val="32"/>
          <w:szCs w:val="32"/>
          <w14:textFill>
            <w14:solidFill>
              <w14:schemeClr w14:val="tx1"/>
            </w14:solidFill>
          </w14:textFill>
        </w:rPr>
        <w:t>开展党内法规建设跨学科协同创新研究</w:t>
      </w:r>
      <w:r>
        <w:rPr>
          <w:rFonts w:hint="eastAsia" w:ascii="仿宋_GB2312" w:hAnsi="微软雅黑" w:eastAsia="仿宋_GB2312"/>
          <w:b w:val="0"/>
          <w:color w:val="000000" w:themeColor="text1"/>
          <w:sz w:val="32"/>
          <w:szCs w:val="32"/>
          <w14:textFill>
            <w14:solidFill>
              <w14:schemeClr w14:val="tx1"/>
            </w14:solidFill>
          </w14:textFill>
        </w:rPr>
        <w:t>，不断推出理论性、应用性、建设性的高质量研究成果，为</w:t>
      </w:r>
      <w:r>
        <w:rPr>
          <w:rFonts w:hint="eastAsia" w:ascii="仿宋_GB2312" w:hAnsi="仿宋" w:eastAsia="仿宋_GB2312" w:cs="Times New Roman"/>
          <w:b w:val="0"/>
          <w:color w:val="000000" w:themeColor="text1"/>
          <w:kern w:val="2"/>
          <w:sz w:val="32"/>
          <w:szCs w:val="32"/>
          <w14:textFill>
            <w14:solidFill>
              <w14:schemeClr w14:val="tx1"/>
            </w14:solidFill>
          </w14:textFill>
        </w:rPr>
        <w:t>达州市党内法规制度建设提供理论支撑，为达州市委决策部署提供参谋服务。</w:t>
      </w:r>
    </w:p>
    <w:p>
      <w:pPr>
        <w:pStyle w:val="2"/>
        <w:widowControl w:val="0"/>
        <w:shd w:val="clear" w:color="auto" w:fill="FFFFFF"/>
        <w:spacing w:before="0" w:beforeAutospacing="0" w:after="0" w:afterAutospacing="0" w:line="578" w:lineRule="exact"/>
        <w:ind w:firstLine="641" w:firstLineChars="200"/>
        <w:jc w:val="both"/>
        <w:rPr>
          <w:rFonts w:ascii="黑体" w:eastAsia="黑体"/>
          <w:kern w:val="0"/>
          <w:sz w:val="32"/>
          <w:szCs w:val="32"/>
        </w:rPr>
      </w:pPr>
      <w:r>
        <w:rPr>
          <w:rFonts w:hint="eastAsia" w:ascii="黑体" w:eastAsia="黑体"/>
          <w:kern w:val="0"/>
          <w:sz w:val="32"/>
          <w:szCs w:val="32"/>
        </w:rPr>
        <w:t>二、项目类别与资助经费</w:t>
      </w:r>
    </w:p>
    <w:p>
      <w:pPr>
        <w:widowControl/>
        <w:spacing w:before="100" w:beforeAutospacing="1" w:after="100" w:afterAutospacing="1" w:line="480" w:lineRule="auto"/>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本年度设立重点项目、一般项目两类。重点项目2项，一般项目4项。资助经费待项目结题，根据研究质量确定额度。</w:t>
      </w:r>
    </w:p>
    <w:p>
      <w:pPr>
        <w:widowControl/>
        <w:spacing w:before="100" w:beforeAutospacing="1" w:after="100" w:afterAutospacing="1" w:line="480" w:lineRule="auto"/>
        <w:ind w:firstLine="600"/>
        <w:rPr>
          <w:rFonts w:ascii="仿宋_GB2312" w:hAnsi="微软雅黑" w:eastAsia="仿宋_GB2312"/>
          <w:color w:val="000000" w:themeColor="text1"/>
          <w:sz w:val="32"/>
          <w:szCs w:val="32"/>
          <w14:textFill>
            <w14:solidFill>
              <w14:schemeClr w14:val="tx1"/>
            </w14:solidFill>
          </w14:textFill>
        </w:rPr>
      </w:pPr>
      <w:r>
        <w:rPr>
          <w:rFonts w:hint="eastAsia" w:ascii="黑体" w:eastAsia="黑体"/>
          <w:b/>
          <w:kern w:val="0"/>
          <w:sz w:val="32"/>
          <w:szCs w:val="32"/>
        </w:rPr>
        <w:t>三、项目选题</w:t>
      </w:r>
      <w:r>
        <w:rPr>
          <w:rFonts w:hint="eastAsia" w:ascii="黑体" w:eastAsia="黑体"/>
          <w:b/>
          <w:kern w:val="0"/>
          <w:sz w:val="32"/>
          <w:szCs w:val="32"/>
        </w:rPr>
        <w:br w:type="textWrapping"/>
      </w:r>
      <w:r>
        <w:rPr>
          <w:rFonts w:hint="eastAsia" w:ascii="仿宋_GB2312" w:hAnsi="仿宋" w:eastAsia="仿宋_GB2312"/>
          <w:color w:val="000000"/>
          <w:sz w:val="32"/>
          <w:szCs w:val="32"/>
        </w:rPr>
        <w:t xml:space="preserve">   </w:t>
      </w:r>
      <w:r>
        <w:rPr>
          <w:rFonts w:hint="eastAsia" w:ascii="楷体_GB2312" w:hAnsi="仿宋" w:eastAsia="楷体_GB2312"/>
          <w:b/>
          <w:color w:val="000000" w:themeColor="text1"/>
          <w:sz w:val="32"/>
          <w:szCs w:val="32"/>
          <w14:textFill>
            <w14:solidFill>
              <w14:schemeClr w14:val="tx1"/>
            </w14:solidFill>
          </w14:textFill>
        </w:rPr>
        <w:t>（一）重点课题</w:t>
      </w:r>
      <w:r>
        <w:rPr>
          <w:rFonts w:hint="eastAsia" w:ascii="楷体_GB2312" w:hAnsi="仿宋" w:eastAsia="楷体_GB2312"/>
          <w:b/>
          <w:color w:val="000000"/>
          <w:sz w:val="32"/>
          <w:szCs w:val="32"/>
        </w:rPr>
        <w:br w:type="textWrapping"/>
      </w:r>
      <w:r>
        <w:rPr>
          <w:rFonts w:hint="eastAsia" w:ascii="楷体_GB2312" w:hAnsi="仿宋" w:eastAsia="楷体_GB2312"/>
          <w:b/>
          <w:color w:val="000000"/>
          <w:sz w:val="32"/>
          <w:szCs w:val="32"/>
        </w:rPr>
        <w:t xml:space="preserve">    </w:t>
      </w:r>
      <w:r>
        <w:rPr>
          <w:rFonts w:hint="eastAsia" w:ascii="仿宋_GB2312" w:hAnsi="仿宋" w:eastAsia="仿宋_GB2312"/>
          <w:color w:val="000000"/>
          <w:sz w:val="32"/>
          <w:szCs w:val="32"/>
        </w:rPr>
        <w:t>1.习近平关于国家治理体系和治理能力现代化的重要论述研究</w:t>
      </w:r>
      <w:r>
        <w:rPr>
          <w:rFonts w:hint="eastAsia" w:ascii="仿宋_GB2312" w:eastAsia="仿宋_GB2312"/>
          <w:b/>
          <w:kern w:val="0"/>
          <w:sz w:val="32"/>
          <w:szCs w:val="32"/>
        </w:rPr>
        <w:br w:type="textWrapping"/>
      </w:r>
      <w:r>
        <w:rPr>
          <w:rFonts w:hint="eastAsia" w:ascii="仿宋_GB2312" w:hAnsi="仿宋" w:eastAsia="仿宋_GB2312"/>
          <w:color w:val="000000"/>
          <w:sz w:val="32"/>
          <w:szCs w:val="32"/>
        </w:rPr>
        <w:t xml:space="preserve">    2.渝东北和川东北地区一体化发展的探索</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w:t>
      </w:r>
      <w:r>
        <w:rPr>
          <w:rFonts w:hint="eastAsia" w:ascii="楷体_GB2312" w:hAnsi="仿宋" w:eastAsia="楷体_GB2312"/>
          <w:b/>
          <w:color w:val="000000" w:themeColor="text1"/>
          <w:sz w:val="32"/>
          <w:szCs w:val="32"/>
          <w14:textFill>
            <w14:solidFill>
              <w14:schemeClr w14:val="tx1"/>
            </w14:solidFill>
          </w14:textFill>
        </w:rPr>
        <w:t>（二）一般课题</w:t>
      </w:r>
      <w:r>
        <w:rPr>
          <w:rFonts w:hint="eastAsia" w:ascii="仿宋_GB2312" w:eastAsia="仿宋_GB2312"/>
          <w:b/>
          <w:kern w:val="0"/>
          <w:sz w:val="32"/>
          <w:szCs w:val="32"/>
        </w:rPr>
        <w:br w:type="textWrapping"/>
      </w:r>
      <w:r>
        <w:rPr>
          <w:rFonts w:hint="eastAsia" w:ascii="仿宋_GB2312" w:eastAsia="仿宋_GB2312"/>
          <w:b/>
          <w:kern w:val="0"/>
          <w:sz w:val="32"/>
          <w:szCs w:val="32"/>
        </w:rPr>
        <w:t xml:space="preserve">    </w:t>
      </w:r>
      <w:r>
        <w:rPr>
          <w:rFonts w:hint="eastAsia" w:ascii="仿宋_GB2312" w:hAnsi="仿宋" w:eastAsia="仿宋_GB2312"/>
          <w:color w:val="000000"/>
          <w:sz w:val="32"/>
          <w:szCs w:val="32"/>
        </w:rPr>
        <w:t>1.依托成渝地区双城经济圈经济总量“冲刺4000亿”、城市规模“建设双300”产业支撑的研究</w:t>
      </w:r>
      <w:r>
        <w:rPr>
          <w:rFonts w:hint="eastAsia" w:ascii="仿宋_GB2312" w:eastAsia="仿宋_GB2312"/>
          <w:b/>
          <w:kern w:val="0"/>
          <w:sz w:val="32"/>
          <w:szCs w:val="32"/>
        </w:rPr>
        <w:br w:type="textWrapping"/>
      </w:r>
      <w:r>
        <w:rPr>
          <w:rFonts w:hint="eastAsia" w:ascii="仿宋_GB2312" w:eastAsia="仿宋_GB2312"/>
          <w:b/>
          <w:kern w:val="0"/>
          <w:sz w:val="32"/>
          <w:szCs w:val="32"/>
        </w:rPr>
        <w:t xml:space="preserve">    </w:t>
      </w:r>
      <w:r>
        <w:rPr>
          <w:rFonts w:hint="eastAsia" w:ascii="仿宋_GB2312" w:hAnsi="仿宋" w:eastAsia="仿宋_GB2312"/>
          <w:color w:val="000000"/>
          <w:sz w:val="32"/>
          <w:szCs w:val="32"/>
        </w:rPr>
        <w:t>2.党内法规在基层执行中存在的问题及对策建议</w:t>
      </w:r>
      <w:r>
        <w:rPr>
          <w:rFonts w:hint="eastAsia" w:ascii="仿宋_GB2312" w:hAnsi="仿宋" w:eastAsia="仿宋_GB2312"/>
          <w:color w:val="000000"/>
          <w:sz w:val="32"/>
          <w:szCs w:val="32"/>
        </w:rPr>
        <w:br w:type="textWrapping"/>
      </w:r>
      <w:r>
        <w:rPr>
          <w:rFonts w:hint="eastAsia" w:ascii="仿宋_GB2312" w:eastAsia="仿宋_GB2312"/>
          <w:b/>
          <w:kern w:val="0"/>
          <w:sz w:val="32"/>
          <w:szCs w:val="32"/>
        </w:rPr>
        <w:t xml:space="preserve">    </w:t>
      </w:r>
      <w:r>
        <w:rPr>
          <w:rFonts w:hint="eastAsia" w:ascii="仿宋_GB2312" w:hAnsi="仿宋" w:eastAsia="仿宋_GB2312"/>
          <w:color w:val="000000"/>
          <w:sz w:val="32"/>
          <w:szCs w:val="32"/>
        </w:rPr>
        <w:t>3.党内法规学科建设研究</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4.坚持从严治党在高校的实践研究</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w:t>
      </w:r>
      <w:r>
        <w:rPr>
          <w:rFonts w:hint="eastAsia" w:ascii="黑体" w:eastAsia="黑体"/>
          <w:b/>
          <w:kern w:val="0"/>
          <w:sz w:val="32"/>
          <w:szCs w:val="32"/>
        </w:rPr>
        <w:t>四、</w:t>
      </w:r>
      <w:r>
        <w:rPr>
          <w:rFonts w:hint="eastAsia" w:ascii="黑体" w:eastAsia="黑体"/>
          <w:b/>
          <w:bCs/>
          <w:kern w:val="0"/>
          <w:sz w:val="32"/>
          <w:szCs w:val="32"/>
        </w:rPr>
        <w:t>申请人资格</w:t>
      </w:r>
      <w:r>
        <w:rPr>
          <w:rFonts w:hint="eastAsia" w:ascii="黑体" w:eastAsia="黑体"/>
          <w:b/>
          <w:bCs/>
          <w:kern w:val="0"/>
          <w:sz w:val="32"/>
          <w:szCs w:val="32"/>
        </w:rPr>
        <w:br w:type="textWrapping"/>
      </w:r>
      <w:r>
        <w:rPr>
          <w:rFonts w:hint="eastAsia" w:ascii="黑体" w:eastAsia="黑体"/>
          <w:b/>
          <w:bCs/>
          <w:kern w:val="0"/>
          <w:sz w:val="32"/>
          <w:szCs w:val="32"/>
        </w:rPr>
        <w:t xml:space="preserve"> </w:t>
      </w:r>
      <w:r>
        <w:rPr>
          <w:rFonts w:hint="eastAsia" w:ascii="仿宋_GB2312" w:eastAsia="仿宋_GB2312"/>
          <w:b/>
          <w:bCs/>
          <w:kern w:val="0"/>
          <w:sz w:val="32"/>
          <w:szCs w:val="32"/>
        </w:rPr>
        <w:t xml:space="preserve">  </w:t>
      </w:r>
      <w:r>
        <w:rPr>
          <w:rFonts w:hint="eastAsia" w:ascii="仿宋_GB2312" w:hAnsi="微软雅黑" w:eastAsia="仿宋_GB2312"/>
          <w:color w:val="000000" w:themeColor="text1"/>
          <w:sz w:val="32"/>
          <w:szCs w:val="32"/>
          <w14:textFill>
            <w14:solidFill>
              <w14:schemeClr w14:val="tx1"/>
            </w14:solidFill>
          </w14:textFill>
        </w:rPr>
        <w:t>（一）课题申请人须具有良好的政治素养和独立开展及组织科研工作的能力，能作为课题实际主持者并担负实质性研究工作；</w:t>
      </w:r>
      <w:r>
        <w:rPr>
          <w:rFonts w:hint="eastAsia" w:ascii="仿宋_GB2312" w:hAnsi="宋体" w:eastAsia="仿宋_GB2312" w:cs="宋体"/>
          <w:kern w:val="0"/>
          <w:sz w:val="32"/>
          <w:szCs w:val="32"/>
        </w:rPr>
        <w:t xml:space="preserve">课题负责人与课题组成员应具备实施课题研究的能力和时间保证，所依托单位应具备基本的研究条件；项目申报人所在单位科研管理部门须对申请人进行资格审查，严格把关。 </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仿宋_GB2312" w:hAnsi="微软雅黑" w:eastAsia="仿宋_GB2312"/>
          <w:color w:val="000000" w:themeColor="text1"/>
          <w:sz w:val="32"/>
          <w:szCs w:val="32"/>
          <w14:textFill>
            <w14:solidFill>
              <w14:schemeClr w14:val="tx1"/>
            </w14:solidFill>
          </w14:textFill>
        </w:rPr>
        <w:t>（二）申报</w:t>
      </w:r>
      <w:r>
        <w:rPr>
          <w:rFonts w:hint="eastAsia" w:ascii="仿宋_GB2312" w:hAnsi="宋体" w:eastAsia="仿宋_GB2312" w:cs="宋体"/>
          <w:bCs/>
          <w:kern w:val="0"/>
          <w:sz w:val="32"/>
          <w:szCs w:val="32"/>
        </w:rPr>
        <w:t>重点课题</w:t>
      </w:r>
      <w:r>
        <w:rPr>
          <w:rFonts w:hint="eastAsia" w:ascii="仿宋_GB2312" w:hAnsi="宋体" w:eastAsia="仿宋_GB2312" w:cs="宋体"/>
          <w:kern w:val="0"/>
          <w:sz w:val="32"/>
          <w:szCs w:val="32"/>
        </w:rPr>
        <w:t>的负责人原则上应具有高级职称或博士学位，或</w:t>
      </w:r>
      <w:r>
        <w:rPr>
          <w:rFonts w:hint="eastAsia" w:ascii="仿宋_GB2312" w:hAnsi="微软雅黑" w:eastAsia="仿宋_GB2312"/>
          <w:color w:val="000000" w:themeColor="text1"/>
          <w:sz w:val="32"/>
          <w:szCs w:val="32"/>
          <w14:textFill>
            <w14:solidFill>
              <w14:schemeClr w14:val="tx1"/>
            </w14:solidFill>
          </w14:textFill>
        </w:rPr>
        <w:t>主持完成过省部级以上科研项目、有较强科研能力的的中级职称或硕士学位者；</w:t>
      </w:r>
      <w:r>
        <w:rPr>
          <w:rFonts w:hint="eastAsia" w:ascii="仿宋_GB2312" w:hAnsi="宋体" w:eastAsia="仿宋_GB2312" w:cs="宋体"/>
          <w:kern w:val="0"/>
          <w:sz w:val="32"/>
          <w:szCs w:val="32"/>
        </w:rPr>
        <w:t>申报一般课题无职称要求。</w:t>
      </w:r>
    </w:p>
    <w:p>
      <w:pPr>
        <w:widowControl/>
        <w:spacing w:before="100" w:beforeAutospacing="1" w:after="100" w:afterAutospacing="1" w:line="480" w:lineRule="auto"/>
        <w:ind w:firstLine="60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（三）申请人所在单位承诺积极支持，提供必要的研究条件。</w:t>
      </w:r>
    </w:p>
    <w:p>
      <w:pPr>
        <w:widowControl/>
        <w:spacing w:before="100" w:beforeAutospacing="1" w:after="100" w:afterAutospacing="1" w:line="480" w:lineRule="auto"/>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（四）课题组负责人只能向本中心申报1个项目。</w:t>
      </w:r>
    </w:p>
    <w:p>
      <w:pPr>
        <w:widowControl/>
        <w:spacing w:before="100" w:beforeAutospacing="1" w:after="100" w:afterAutospacing="1" w:line="480" w:lineRule="auto"/>
        <w:ind w:firstLine="600"/>
        <w:rPr>
          <w:rFonts w:ascii="黑体" w:eastAsia="黑体"/>
          <w:b/>
          <w:bCs/>
          <w:sz w:val="32"/>
          <w:szCs w:val="32"/>
        </w:rPr>
      </w:pPr>
      <w:r>
        <w:rPr>
          <w:rFonts w:hint="eastAsia" w:ascii="黑体" w:eastAsia="黑体"/>
          <w:b/>
          <w:bCs/>
          <w:sz w:val="32"/>
          <w:szCs w:val="32"/>
        </w:rPr>
        <w:t>五、研究期限和成果形式</w:t>
      </w:r>
    </w:p>
    <w:p>
      <w:pPr>
        <w:widowControl/>
        <w:spacing w:before="100" w:beforeAutospacing="1" w:after="100" w:afterAutospacing="1" w:line="480" w:lineRule="auto"/>
        <w:ind w:firstLine="600"/>
        <w:rPr>
          <w:rFonts w:ascii="仿宋_GB2312" w:hAnsi="宋体" w:eastAsia="仿宋_GB2312" w:cs="宋体"/>
          <w:color w:val="FF0000"/>
          <w:kern w:val="0"/>
          <w:sz w:val="32"/>
          <w:szCs w:val="32"/>
        </w:rPr>
      </w:pPr>
      <w:r>
        <w:rPr>
          <w:rFonts w:hint="eastAsia" w:ascii="仿宋_GB2312" w:hAnsi="微软雅黑" w:eastAsia="仿宋_GB2312"/>
          <w:color w:val="000000" w:themeColor="text1"/>
          <w:sz w:val="32"/>
          <w:szCs w:val="32"/>
          <w14:textFill>
            <w14:solidFill>
              <w14:schemeClr w14:val="tx1"/>
            </w14:solidFill>
          </w14:textFill>
        </w:rPr>
        <w:t>自立项之日起</w:t>
      </w:r>
      <w:r>
        <w:rPr>
          <w:rStyle w:val="7"/>
          <w:rFonts w:hint="eastAsia" w:ascii="仿宋_GB2312" w:hAnsi="微软雅黑" w:eastAsia="仿宋_GB2312"/>
          <w:color w:val="000000" w:themeColor="text1"/>
          <w:sz w:val="32"/>
          <w:szCs w:val="32"/>
          <w14:textFill>
            <w14:solidFill>
              <w14:schemeClr w14:val="tx1"/>
            </w14:solidFill>
          </w14:textFill>
        </w:rPr>
        <w:t>1年</w:t>
      </w:r>
      <w:r>
        <w:rPr>
          <w:rStyle w:val="7"/>
          <w:rFonts w:hint="eastAsia" w:ascii="仿宋_GB2312" w:hAnsi="微软雅黑" w:eastAsia="仿宋_GB2312"/>
          <w:b w:val="0"/>
          <w:bCs w:val="0"/>
          <w:color w:val="000000" w:themeColor="text1"/>
          <w:sz w:val="32"/>
          <w:szCs w:val="32"/>
          <w14:textFill>
            <w14:solidFill>
              <w14:schemeClr w14:val="tx1"/>
            </w14:solidFill>
          </w14:textFill>
        </w:rPr>
        <w:t>内</w:t>
      </w:r>
      <w:r>
        <w:rPr>
          <w:rFonts w:hint="eastAsia" w:ascii="仿宋_GB2312" w:hAnsi="微软雅黑" w:eastAsia="仿宋_GB2312"/>
          <w:color w:val="000000" w:themeColor="text1"/>
          <w:sz w:val="32"/>
          <w:szCs w:val="32"/>
          <w14:textFill>
            <w14:solidFill>
              <w14:schemeClr w14:val="tx1"/>
            </w14:solidFill>
          </w14:textFill>
        </w:rPr>
        <w:t>完成（即2020年11月30前完成），鼓励提前完成，</w:t>
      </w:r>
      <w:r>
        <w:rPr>
          <w:rFonts w:hint="eastAsia" w:ascii="仿宋_GB2312" w:hAnsi="宋体" w:eastAsia="仿宋_GB2312" w:cs="宋体"/>
          <w:kern w:val="0"/>
          <w:sz w:val="32"/>
          <w:szCs w:val="32"/>
        </w:rPr>
        <w:t>确有必要延长的，按程序申请报批，原则上只能延长一次，延长时间一般不超过一年。</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仿宋_GB2312" w:hAnsi="微软雅黑" w:eastAsia="仿宋_GB2312"/>
          <w:color w:val="000000" w:themeColor="text1"/>
          <w:sz w:val="32"/>
          <w:szCs w:val="32"/>
          <w14:textFill>
            <w14:solidFill>
              <w14:schemeClr w14:val="tx1"/>
            </w14:solidFill>
          </w14:textFill>
        </w:rPr>
        <w:t xml:space="preserve">    </w:t>
      </w:r>
      <w:r>
        <w:rPr>
          <w:rFonts w:hint="eastAsia" w:ascii="仿宋_GB2312" w:hAnsi="宋体" w:eastAsia="仿宋_GB2312" w:cs="宋体"/>
          <w:b/>
          <w:bCs/>
          <w:color w:val="000000" w:themeColor="text1"/>
          <w:kern w:val="0"/>
          <w:sz w:val="32"/>
          <w:szCs w:val="32"/>
          <w14:textFill>
            <w14:solidFill>
              <w14:schemeClr w14:val="tx1"/>
            </w14:solidFill>
          </w14:textFill>
        </w:rPr>
        <w:t>重点项目，</w:t>
      </w:r>
      <w:r>
        <w:rPr>
          <w:rFonts w:hint="eastAsia" w:ascii="仿宋_GB2312" w:hAnsi="宋体" w:eastAsia="仿宋_GB2312" w:cs="宋体"/>
          <w:bCs/>
          <w:color w:val="000000" w:themeColor="text1"/>
          <w:kern w:val="0"/>
          <w:sz w:val="32"/>
          <w:szCs w:val="32"/>
          <w14:textFill>
            <w14:solidFill>
              <w14:schemeClr w14:val="tx1"/>
            </w14:solidFill>
          </w14:textFill>
        </w:rPr>
        <w:t>结题</w:t>
      </w:r>
      <w:r>
        <w:rPr>
          <w:rFonts w:hint="eastAsia" w:ascii="仿宋_GB2312" w:hAnsi="宋体" w:eastAsia="仿宋_GB2312" w:cs="宋体"/>
          <w:color w:val="000000" w:themeColor="text1"/>
          <w:kern w:val="0"/>
          <w:sz w:val="32"/>
          <w:szCs w:val="32"/>
          <w14:textFill>
            <w14:solidFill>
              <w14:schemeClr w14:val="tx1"/>
            </w14:solidFill>
          </w14:textFill>
        </w:rPr>
        <w:t>需提交1篇不少于20000字的研究报告和1 份得到市厅级及以上领导签批的决策咨询报告。</w:t>
      </w:r>
      <w:r>
        <w:rPr>
          <w:rFonts w:hint="eastAsia" w:ascii="仿宋_GB2312" w:hAnsi="宋体" w:eastAsia="仿宋_GB2312" w:cs="宋体"/>
          <w:color w:val="000000" w:themeColor="text1"/>
          <w:kern w:val="0"/>
          <w:sz w:val="32"/>
          <w:szCs w:val="32"/>
          <w14:textFill>
            <w14:solidFill>
              <w14:schemeClr w14:val="tx1"/>
            </w14:solidFill>
          </w14:textFill>
        </w:rPr>
        <w:br w:type="textWrapping"/>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b/>
          <w:bCs/>
          <w:color w:val="000000" w:themeColor="text1"/>
          <w:kern w:val="0"/>
          <w:sz w:val="32"/>
          <w:szCs w:val="32"/>
          <w14:textFill>
            <w14:solidFill>
              <w14:schemeClr w14:val="tx1"/>
            </w14:solidFill>
          </w14:textFill>
        </w:rPr>
        <w:t>一般项目，</w:t>
      </w:r>
      <w:r>
        <w:rPr>
          <w:rFonts w:hint="eastAsia" w:ascii="仿宋_GB2312" w:hAnsi="宋体" w:eastAsia="仿宋_GB2312" w:cs="宋体"/>
          <w:bCs/>
          <w:color w:val="000000" w:themeColor="text1"/>
          <w:kern w:val="0"/>
          <w:sz w:val="32"/>
          <w:szCs w:val="32"/>
          <w14:textFill>
            <w14:solidFill>
              <w14:schemeClr w14:val="tx1"/>
            </w14:solidFill>
          </w14:textFill>
        </w:rPr>
        <w:t>结题</w:t>
      </w:r>
      <w:r>
        <w:rPr>
          <w:rFonts w:hint="eastAsia" w:ascii="仿宋_GB2312" w:hAnsi="宋体" w:eastAsia="仿宋_GB2312" w:cs="宋体"/>
          <w:color w:val="000000" w:themeColor="text1"/>
          <w:kern w:val="0"/>
          <w:sz w:val="32"/>
          <w:szCs w:val="32"/>
          <w14:textFill>
            <w14:solidFill>
              <w14:schemeClr w14:val="tx1"/>
            </w14:solidFill>
          </w14:textFill>
        </w:rPr>
        <w:t>需提交1篇不少于15000字的研究报告和1份得到市厅级领导签批的决策咨询报告。</w:t>
      </w:r>
      <w:r>
        <w:rPr>
          <w:rFonts w:hint="eastAsia" w:ascii="仿宋_GB2312" w:hAnsi="宋体" w:eastAsia="仿宋_GB2312" w:cs="宋体"/>
          <w:color w:val="000000" w:themeColor="text1"/>
          <w:kern w:val="0"/>
          <w:sz w:val="32"/>
          <w:szCs w:val="32"/>
          <w14:textFill>
            <w14:solidFill>
              <w14:schemeClr w14:val="tx1"/>
            </w14:solidFill>
          </w14:textFill>
        </w:rPr>
        <w:br w:type="textWrapping"/>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kern w:val="0"/>
          <w:sz w:val="32"/>
          <w:szCs w:val="32"/>
        </w:rPr>
        <w:t>有下列情况之一者可</w:t>
      </w:r>
      <w:r>
        <w:rPr>
          <w:rFonts w:hint="eastAsia" w:ascii="仿宋_GB2312" w:hAnsi="宋体" w:eastAsia="仿宋_GB2312" w:cs="宋体"/>
          <w:b/>
          <w:bCs/>
          <w:kern w:val="0"/>
          <w:sz w:val="32"/>
          <w:szCs w:val="32"/>
        </w:rPr>
        <w:t>直接结项</w:t>
      </w:r>
      <w:r>
        <w:rPr>
          <w:rFonts w:hint="eastAsia" w:ascii="仿宋_GB2312" w:hAnsi="宋体" w:eastAsia="仿宋_GB2312" w:cs="宋体"/>
          <w:kern w:val="0"/>
          <w:sz w:val="32"/>
          <w:szCs w:val="32"/>
        </w:rPr>
        <w:t xml:space="preserve">：研究成果被教育部评为“优秀专家建议”；省规划办《重要成果专报》采纳或省部级主要领导签批。 </w:t>
      </w:r>
      <w:r>
        <w:rPr>
          <w:rFonts w:hint="eastAsia" w:ascii="仿宋_GB2312" w:hAnsi="宋体" w:eastAsia="仿宋_GB2312" w:cs="宋体"/>
          <w:color w:val="000000" w:themeColor="text1"/>
          <w:kern w:val="0"/>
          <w:sz w:val="32"/>
          <w:szCs w:val="32"/>
          <w14:textFill>
            <w14:solidFill>
              <w14:schemeClr w14:val="tx1"/>
            </w14:solidFill>
          </w14:textFill>
        </w:rPr>
        <w:br w:type="textWrapping"/>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黑体" w:eastAsia="黑体"/>
          <w:b/>
          <w:sz w:val="32"/>
          <w:szCs w:val="32"/>
        </w:rPr>
        <w:t>六、申请注意事项</w:t>
      </w:r>
      <w:r>
        <w:rPr>
          <w:rFonts w:ascii="黑体" w:eastAsia="黑体"/>
          <w:sz w:val="32"/>
          <w:szCs w:val="32"/>
        </w:rPr>
        <w:br w:type="textWrapping"/>
      </w:r>
      <w:r>
        <w:rPr>
          <w:rFonts w:hint="eastAsia" w:ascii="黑体" w:eastAsia="黑体"/>
          <w:sz w:val="32"/>
          <w:szCs w:val="32"/>
        </w:rPr>
        <w:t xml:space="preserve">  </w:t>
      </w:r>
      <w:r>
        <w:rPr>
          <w:rFonts w:hint="eastAsia" w:ascii="仿宋_GB2312" w:eastAsia="仿宋_GB2312"/>
          <w:sz w:val="32"/>
          <w:szCs w:val="32"/>
        </w:rPr>
        <w:t xml:space="preserve">  1.达州市党内法规研究中心课题，</w:t>
      </w:r>
      <w:r>
        <w:rPr>
          <w:rFonts w:hint="eastAsia" w:ascii="仿宋_GB2312" w:eastAsia="仿宋_GB2312"/>
          <w:color w:val="000000" w:themeColor="text1"/>
          <w:sz w:val="32"/>
          <w:szCs w:val="32"/>
          <w14:textFill>
            <w14:solidFill>
              <w14:schemeClr w14:val="tx1"/>
            </w14:solidFill>
          </w14:textFill>
        </w:rPr>
        <w:t>按照市厅级项目级别认定</w:t>
      </w:r>
      <w:r>
        <w:rPr>
          <w:rFonts w:hint="eastAsia" w:ascii="仿宋_GB2312" w:hAnsi="微软雅黑" w:eastAsia="仿宋_GB2312"/>
          <w:color w:val="000000" w:themeColor="text1"/>
          <w:sz w:val="32"/>
          <w:szCs w:val="32"/>
          <w14:textFill>
            <w14:solidFill>
              <w14:schemeClr w14:val="tx1"/>
            </w14:solidFill>
          </w14:textFill>
        </w:rPr>
        <w:t>，并按照四川文理学院科研管理办法进行管理。</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仿宋_GB2312" w:hAnsi="微软雅黑" w:eastAsia="仿宋_GB2312"/>
          <w:color w:val="000000" w:themeColor="text1"/>
          <w:sz w:val="32"/>
          <w:szCs w:val="32"/>
          <w14:textFill>
            <w14:solidFill>
              <w14:schemeClr w14:val="tx1"/>
            </w14:solidFill>
          </w14:textFill>
        </w:rPr>
        <w:t xml:space="preserve">    </w:t>
      </w:r>
      <w:r>
        <w:rPr>
          <w:rFonts w:hint="eastAsia" w:ascii="仿宋_GB2312" w:hAnsi="宋体" w:eastAsia="仿宋_GB2312" w:cs="宋体"/>
          <w:kern w:val="0"/>
          <w:sz w:val="32"/>
          <w:szCs w:val="32"/>
        </w:rPr>
        <w:t>2.所有课题研究成果发表须注明“达州市党内法规研究中心2020年度项目资助”，并标注项目名称和项目编号。不能再标注“其他研究机构资助项目”字样。</w:t>
      </w:r>
      <w:r>
        <w:rPr>
          <w:rFonts w:ascii="仿宋_GB2312" w:hAnsi="微软雅黑" w:eastAsia="仿宋_GB2312"/>
          <w:color w:val="000000" w:themeColor="text1"/>
          <w:sz w:val="32"/>
          <w:szCs w:val="32"/>
          <w14:textFill>
            <w14:solidFill>
              <w14:schemeClr w14:val="tx1"/>
            </w14:solidFill>
          </w14:textFill>
        </w:rPr>
        <w:br w:type="textWrapping"/>
      </w:r>
      <w:r>
        <w:rPr>
          <w:rStyle w:val="7"/>
          <w:rFonts w:hint="eastAsia" w:ascii="仿宋_GB2312" w:hAnsi="微软雅黑" w:eastAsia="仿宋_GB2312"/>
          <w:color w:val="000000" w:themeColor="text1"/>
          <w:sz w:val="32"/>
          <w:szCs w:val="32"/>
          <w14:textFill>
            <w14:solidFill>
              <w14:schemeClr w14:val="tx1"/>
            </w14:solidFill>
          </w14:textFill>
        </w:rPr>
        <w:t xml:space="preserve"> </w:t>
      </w:r>
      <w:r>
        <w:rPr>
          <w:rFonts w:hint="eastAsia" w:ascii="黑体" w:eastAsia="黑体"/>
          <w:b/>
          <w:bCs/>
          <w:sz w:val="32"/>
          <w:szCs w:val="32"/>
        </w:rPr>
        <w:t xml:space="preserve">  七、申请办法</w:t>
      </w:r>
      <w:r>
        <w:rPr>
          <w:rFonts w:hint="eastAsia" w:ascii="黑体" w:hAnsi="微软雅黑" w:eastAsia="黑体"/>
          <w:color w:val="000000" w:themeColor="text1"/>
          <w:sz w:val="32"/>
          <w:szCs w:val="32"/>
          <w14:textFill>
            <w14:solidFill>
              <w14:schemeClr w14:val="tx1"/>
            </w14:solidFill>
          </w14:textFill>
        </w:rPr>
        <w:br w:type="textWrapping"/>
      </w:r>
      <w:r>
        <w:rPr>
          <w:rFonts w:hint="eastAsia" w:ascii="黑体" w:hAnsi="微软雅黑" w:eastAsia="黑体"/>
          <w:color w:val="000000" w:themeColor="text1"/>
          <w:sz w:val="32"/>
          <w:szCs w:val="32"/>
          <w14:textFill>
            <w14:solidFill>
              <w14:schemeClr w14:val="tx1"/>
            </w14:solidFill>
          </w14:textFill>
        </w:rPr>
        <w:t xml:space="preserve">   </w:t>
      </w:r>
      <w:r>
        <w:rPr>
          <w:rFonts w:hint="eastAsia" w:ascii="仿宋_GB2312" w:hAnsi="宋体" w:eastAsia="仿宋_GB2312" w:cs="宋体"/>
          <w:kern w:val="0"/>
          <w:sz w:val="32"/>
          <w:szCs w:val="32"/>
        </w:rPr>
        <w:t xml:space="preserve">1.申报课题须按照《达州市党内法规研究中心项目申报书》和《达州市党内法规研究中心项目论证活页》要求，如实填写材料，并保证没有知识产权争议。凡存在弄虚作假、抄袭剽窃等行为的，一经发现查实，取消三年申报资格；如获立项即予撤项并通报批评，并列入不良科研信用记录。 </w:t>
      </w:r>
      <w:r>
        <w:rPr>
          <w:rFonts w:hint="eastAsia" w:ascii="黑体" w:hAnsi="微软雅黑" w:eastAsia="黑体"/>
          <w:color w:val="000000" w:themeColor="text1"/>
          <w:sz w:val="32"/>
          <w:szCs w:val="32"/>
          <w14:textFill>
            <w14:solidFill>
              <w14:schemeClr w14:val="tx1"/>
            </w14:solidFill>
          </w14:textFill>
        </w:rPr>
        <w:br w:type="textWrapping"/>
      </w:r>
      <w:r>
        <w:rPr>
          <w:rFonts w:hint="eastAsia" w:ascii="黑体" w:hAnsi="微软雅黑" w:eastAsia="黑体"/>
          <w:color w:val="000000" w:themeColor="text1"/>
          <w:sz w:val="32"/>
          <w:szCs w:val="32"/>
          <w14:textFill>
            <w14:solidFill>
              <w14:schemeClr w14:val="tx1"/>
            </w14:solidFill>
          </w14:textFill>
        </w:rPr>
        <w:t xml:space="preserve">   </w:t>
      </w:r>
      <w:r>
        <w:rPr>
          <w:rFonts w:hint="eastAsia" w:ascii="仿宋_GB2312" w:hAnsi="宋体" w:eastAsia="仿宋_GB2312" w:cs="宋体"/>
          <w:kern w:val="0"/>
          <w:sz w:val="32"/>
          <w:szCs w:val="32"/>
        </w:rPr>
        <w:t xml:space="preserve">2.项目申报所需材料在附件中下载。报送材料包括：审查合格的《申报书》一式3份，论证活页3份，所有材料要求统一用A4纸印制，左侧装订。 </w:t>
      </w:r>
    </w:p>
    <w:p>
      <w:pPr>
        <w:widowControl/>
        <w:spacing w:before="100" w:beforeAutospacing="1" w:after="100" w:afterAutospacing="1" w:line="480" w:lineRule="auto"/>
        <w:ind w:firstLine="60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3.项目申报受理时间截止</w:t>
      </w:r>
      <w:r>
        <w:rPr>
          <w:rFonts w:hint="eastAsia" w:ascii="仿宋_GB2312" w:hAnsi="宋体" w:eastAsia="仿宋_GB2312" w:cs="宋体"/>
          <w:b/>
          <w:bCs/>
          <w:kern w:val="0"/>
          <w:sz w:val="32"/>
          <w:szCs w:val="32"/>
        </w:rPr>
        <w:t>2020年3月15日12:00</w:t>
      </w:r>
      <w:r>
        <w:rPr>
          <w:rFonts w:hint="eastAsia" w:ascii="仿宋_GB2312" w:hAnsi="宋体" w:eastAsia="仿宋_GB2312" w:cs="宋体"/>
          <w:kern w:val="0"/>
          <w:sz w:val="32"/>
          <w:szCs w:val="32"/>
        </w:rPr>
        <w:t>，由申报单位审查申报材料并签署意见后统一寄送到本中心，电子文档发到中心邮箱，逾期</w:t>
      </w:r>
      <w:r>
        <w:rPr>
          <w:rFonts w:hint="eastAsia" w:ascii="仿宋_GB2312" w:hAnsi="宋体" w:eastAsia="仿宋_GB2312" w:cs="宋体"/>
          <w:b/>
          <w:bCs/>
          <w:kern w:val="0"/>
          <w:sz w:val="32"/>
          <w:szCs w:val="32"/>
        </w:rPr>
        <w:t>不予受理</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黑体" w:eastAsia="黑体"/>
          <w:b/>
          <w:sz w:val="32"/>
          <w:szCs w:val="32"/>
        </w:rPr>
        <w:t>八、课题评审流程</w:t>
      </w:r>
      <w:r>
        <w:rPr>
          <w:rFonts w:hint="eastAsia" w:ascii="黑体" w:eastAsia="黑体"/>
          <w:sz w:val="32"/>
          <w:szCs w:val="32"/>
        </w:rPr>
        <w:br w:type="textWrapping"/>
      </w:r>
      <w:r>
        <w:rPr>
          <w:rFonts w:hint="eastAsia" w:ascii="黑体" w:eastAsia="黑体"/>
          <w:sz w:val="32"/>
          <w:szCs w:val="32"/>
        </w:rPr>
        <w:t xml:space="preserve">    </w:t>
      </w:r>
      <w:r>
        <w:rPr>
          <w:rFonts w:hint="eastAsia" w:ascii="仿宋_GB2312" w:hAnsi="微软雅黑" w:eastAsia="仿宋_GB2312"/>
          <w:color w:val="000000" w:themeColor="text1"/>
          <w:sz w:val="32"/>
          <w:szCs w:val="32"/>
          <w14:textFill>
            <w14:solidFill>
              <w14:schemeClr w14:val="tx1"/>
            </w14:solidFill>
          </w14:textFill>
        </w:rPr>
        <w:t>课题申请人向达州市党内法规研究中心提交申请，研究中心组织专家评审后确定。中心将遵循“开放申报、择优立项、宁缺毋滥、内外有别”的原则，根据课题要求和申报情况，决定以委托形式发放课题。</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仿宋_GB2312" w:hAnsi="微软雅黑" w:eastAsia="仿宋_GB2312"/>
          <w:color w:val="000000" w:themeColor="text1"/>
          <w:sz w:val="32"/>
          <w:szCs w:val="32"/>
          <w14:textFill>
            <w14:solidFill>
              <w14:schemeClr w14:val="tx1"/>
            </w14:solidFill>
          </w14:textFill>
        </w:rPr>
        <w:t xml:space="preserve">    </w:t>
      </w:r>
      <w:r>
        <w:rPr>
          <w:rFonts w:hint="eastAsia" w:ascii="黑体" w:hAnsi="宋体" w:eastAsia="黑体"/>
          <w:b/>
          <w:bCs/>
          <w:sz w:val="32"/>
          <w:szCs w:val="32"/>
        </w:rPr>
        <w:t>九、联系方式</w:t>
      </w:r>
      <w:r>
        <w:rPr>
          <w:rFonts w:hint="eastAsia" w:ascii="黑体" w:hAnsi="宋体" w:eastAsia="黑体"/>
          <w:b/>
          <w:bCs/>
          <w:sz w:val="32"/>
          <w:szCs w:val="32"/>
        </w:rPr>
        <w:br w:type="textWrapping"/>
      </w:r>
      <w:r>
        <w:rPr>
          <w:rFonts w:hint="eastAsia" w:ascii="仿宋_GB2312" w:hAnsi="宋体" w:eastAsia="仿宋_GB2312"/>
          <w:b/>
          <w:bCs/>
          <w:sz w:val="32"/>
          <w:szCs w:val="32"/>
        </w:rPr>
        <w:t xml:space="preserve">    </w:t>
      </w:r>
      <w:r>
        <w:rPr>
          <w:rFonts w:hint="eastAsia" w:ascii="仿宋_GB2312" w:hAnsi="微软雅黑" w:eastAsia="仿宋_GB2312"/>
          <w:color w:val="000000" w:themeColor="text1"/>
          <w:sz w:val="32"/>
          <w:szCs w:val="32"/>
          <w14:textFill>
            <w14:solidFill>
              <w14:schemeClr w14:val="tx1"/>
            </w14:solidFill>
          </w14:textFill>
        </w:rPr>
        <w:t>通信地址：四川省达州市</w:t>
      </w:r>
      <w:r>
        <w:rPr>
          <w:rFonts w:hint="eastAsia" w:ascii="仿宋_GB2312" w:hAnsi="宋体" w:eastAsia="仿宋_GB2312" w:cs="宋体"/>
          <w:kern w:val="0"/>
          <w:sz w:val="32"/>
          <w:szCs w:val="32"/>
        </w:rPr>
        <w:t>四川文理学院莲湖校区弘德楼4004办公室</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仿宋_GB2312" w:hAnsi="微软雅黑" w:eastAsia="仿宋_GB2312"/>
          <w:color w:val="000000" w:themeColor="text1"/>
          <w:sz w:val="32"/>
          <w:szCs w:val="32"/>
          <w14:textFill>
            <w14:solidFill>
              <w14:schemeClr w14:val="tx1"/>
            </w14:solidFill>
          </w14:textFill>
        </w:rPr>
        <w:t>邮政编码：635000</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仿宋_GB2312" w:hAnsi="微软雅黑" w:eastAsia="仿宋_GB2312"/>
          <w:color w:val="000000" w:themeColor="text1"/>
          <w:sz w:val="32"/>
          <w:szCs w:val="32"/>
          <w14:textFill>
            <w14:solidFill>
              <w14:schemeClr w14:val="tx1"/>
            </w14:solidFill>
          </w14:textFill>
        </w:rPr>
        <w:t xml:space="preserve">  联 系 人：李老师</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仿宋_GB2312" w:hAnsi="微软雅黑" w:eastAsia="仿宋_GB2312"/>
          <w:color w:val="000000" w:themeColor="text1"/>
          <w:sz w:val="32"/>
          <w:szCs w:val="32"/>
          <w14:textFill>
            <w14:solidFill>
              <w14:schemeClr w14:val="tx1"/>
            </w14:solidFill>
          </w14:textFill>
        </w:rPr>
        <w:t xml:space="preserve">  电    话：0818- 2790009</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仿宋_GB2312" w:hAnsi="微软雅黑" w:eastAsia="仿宋_GB2312"/>
          <w:color w:val="000000" w:themeColor="text1"/>
          <w:sz w:val="32"/>
          <w:szCs w:val="32"/>
          <w14:textFill>
            <w14:solidFill>
              <w14:schemeClr w14:val="tx1"/>
            </w14:solidFill>
          </w14:textFill>
        </w:rPr>
        <w:t xml:space="preserve">  电子邮箱：</w:t>
      </w:r>
      <w:r>
        <w:rPr>
          <w:rFonts w:hint="eastAsia" w:ascii="仿宋_GB2312" w:hAnsi="仿宋" w:eastAsia="仿宋_GB2312"/>
          <w:sz w:val="32"/>
          <w:szCs w:val="32"/>
        </w:rPr>
        <w:t>QQ：</w:t>
      </w:r>
      <w:r>
        <w:rPr>
          <w:rFonts w:ascii="仿宋_GB2312" w:hAnsi="仿宋" w:eastAsia="仿宋_GB2312"/>
          <w:sz w:val="32"/>
          <w:szCs w:val="32"/>
        </w:rPr>
        <w:t>494865527</w:t>
      </w:r>
    </w:p>
    <w:p>
      <w:pPr>
        <w:widowControl/>
        <w:wordWrap w:val="0"/>
        <w:spacing w:before="100" w:beforeAutospacing="1" w:after="100" w:afterAutospacing="1" w:line="48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附件：1.</w:t>
      </w:r>
      <w:r>
        <w:rPr>
          <w:rFonts w:hint="eastAsia"/>
        </w:rPr>
        <w:t xml:space="preserve"> </w:t>
      </w:r>
      <w:r>
        <w:rPr>
          <w:rFonts w:hint="eastAsia" w:ascii="仿宋_GB2312" w:hAnsi="仿宋" w:eastAsia="仿宋_GB2312"/>
          <w:sz w:val="32"/>
          <w:szCs w:val="32"/>
        </w:rPr>
        <w:t>达州市党内法规研究中心课题申报书</w:t>
      </w:r>
      <w:r>
        <w:rPr>
          <w:rFonts w:ascii="仿宋_GB2312" w:hAnsi="仿宋" w:eastAsia="仿宋_GB2312"/>
          <w:sz w:val="32"/>
          <w:szCs w:val="32"/>
        </w:rPr>
        <w:br w:type="textWrapping"/>
      </w:r>
      <w:r>
        <w:rPr>
          <w:rFonts w:hint="eastAsia" w:ascii="仿宋_GB2312" w:hAnsi="仿宋" w:eastAsia="仿宋_GB2312"/>
          <w:sz w:val="32"/>
          <w:szCs w:val="32"/>
        </w:rPr>
        <w:t xml:space="preserve">          2.</w:t>
      </w:r>
      <w:r>
        <w:rPr>
          <w:rFonts w:hint="eastAsia"/>
        </w:rPr>
        <w:t xml:space="preserve"> </w:t>
      </w:r>
      <w:r>
        <w:rPr>
          <w:rFonts w:hint="eastAsia" w:ascii="仿宋_GB2312" w:hAnsi="仿宋" w:eastAsia="仿宋_GB2312"/>
          <w:sz w:val="32"/>
          <w:szCs w:val="32"/>
        </w:rPr>
        <w:t>达州市法规研究中心课题论证活页</w:t>
      </w:r>
    </w:p>
    <w:p>
      <w:pPr>
        <w:widowControl/>
        <w:wordWrap w:val="0"/>
        <w:spacing w:before="100" w:beforeAutospacing="1" w:after="100" w:afterAutospacing="1" w:line="480" w:lineRule="auto"/>
        <w:ind w:firstLine="640" w:firstLineChars="200"/>
        <w:jc w:val="left"/>
        <w:rPr>
          <w:rFonts w:ascii="黑体" w:hAnsi="微软雅黑" w:eastAsia="黑体"/>
          <w:color w:val="000000" w:themeColor="text1"/>
          <w:sz w:val="32"/>
          <w:szCs w:val="32"/>
          <w14:textFill>
            <w14:solidFill>
              <w14:schemeClr w14:val="tx1"/>
            </w14:solidFill>
          </w14:textFill>
        </w:rPr>
      </w:pPr>
      <w:r>
        <w:rPr>
          <w:rFonts w:hint="eastAsia" w:ascii="仿宋_GB2312" w:hAnsi="仿宋" w:eastAsia="仿宋_GB2312"/>
          <w:sz w:val="32"/>
          <w:szCs w:val="32"/>
        </w:rPr>
        <w:t xml:space="preserve">     </w:t>
      </w:r>
    </w:p>
    <w:p>
      <w:pPr>
        <w:widowControl/>
        <w:wordWrap w:val="0"/>
        <w:spacing w:before="100" w:beforeAutospacing="1" w:after="100" w:afterAutospacing="1" w:line="400" w:lineRule="exact"/>
        <w:ind w:firstLine="601"/>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达州市党内法规研究中心</w:t>
      </w:r>
    </w:p>
    <w:p>
      <w:pPr>
        <w:widowControl/>
        <w:wordWrap w:val="0"/>
        <w:spacing w:before="100" w:beforeAutospacing="1" w:after="100" w:afterAutospacing="1" w:line="400" w:lineRule="exact"/>
        <w:ind w:firstLine="601"/>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2020年2月8日   </w:t>
      </w:r>
    </w:p>
    <w:p>
      <w:pPr>
        <w:widowControl/>
        <w:wordWrap w:val="0"/>
        <w:spacing w:before="100" w:beforeAutospacing="1" w:after="100" w:afterAutospacing="1" w:line="480" w:lineRule="auto"/>
        <w:ind w:firstLine="600"/>
        <w:jc w:val="left"/>
        <w:rPr>
          <w:rFonts w:ascii="仿宋_GB2312" w:hAnsi="宋体" w:eastAsia="仿宋_GB2312" w:cs="宋体"/>
          <w:color w:val="000000" w:themeColor="text1"/>
          <w:kern w:val="0"/>
          <w:sz w:val="32"/>
          <w:szCs w:val="32"/>
          <w14:textFill>
            <w14:solidFill>
              <w14:schemeClr w14:val="tx1"/>
            </w14:solidFill>
          </w14:textFill>
        </w:rPr>
      </w:pP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汉仪仿宋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微软雅黑">
    <w:altName w:val="汉仪旗黑KW"/>
    <w:panose1 w:val="020B0503020204020204"/>
    <w:charset w:val="86"/>
    <w:family w:val="swiss"/>
    <w:pitch w:val="default"/>
    <w:sig w:usb0="00000000" w:usb1="00000000" w:usb2="00000016" w:usb3="00000000" w:csb0="0004001F" w:csb1="00000000"/>
  </w:font>
  <w:font w:name="楷体_GB2312">
    <w:altName w:val="汉仪楷体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F4"/>
    <w:rsid w:val="00023529"/>
    <w:rsid w:val="00055D56"/>
    <w:rsid w:val="00061AA8"/>
    <w:rsid w:val="000D584B"/>
    <w:rsid w:val="000F2BC7"/>
    <w:rsid w:val="00126F05"/>
    <w:rsid w:val="00134834"/>
    <w:rsid w:val="001377E5"/>
    <w:rsid w:val="00137A25"/>
    <w:rsid w:val="001824F4"/>
    <w:rsid w:val="001F526A"/>
    <w:rsid w:val="00202D2F"/>
    <w:rsid w:val="00207D05"/>
    <w:rsid w:val="0021016B"/>
    <w:rsid w:val="00210F22"/>
    <w:rsid w:val="002305FD"/>
    <w:rsid w:val="002615C9"/>
    <w:rsid w:val="003026E2"/>
    <w:rsid w:val="0032764C"/>
    <w:rsid w:val="00327A1C"/>
    <w:rsid w:val="00351B0C"/>
    <w:rsid w:val="0035316A"/>
    <w:rsid w:val="003541DB"/>
    <w:rsid w:val="00391C17"/>
    <w:rsid w:val="003B6E8A"/>
    <w:rsid w:val="00410061"/>
    <w:rsid w:val="00456A10"/>
    <w:rsid w:val="004634A1"/>
    <w:rsid w:val="0047674A"/>
    <w:rsid w:val="004A07AF"/>
    <w:rsid w:val="004A1E39"/>
    <w:rsid w:val="00512E70"/>
    <w:rsid w:val="00527D80"/>
    <w:rsid w:val="00531E7B"/>
    <w:rsid w:val="00544B4A"/>
    <w:rsid w:val="0055237E"/>
    <w:rsid w:val="0056089F"/>
    <w:rsid w:val="005718F2"/>
    <w:rsid w:val="005C350C"/>
    <w:rsid w:val="005E537D"/>
    <w:rsid w:val="005F132A"/>
    <w:rsid w:val="006522D5"/>
    <w:rsid w:val="00663A51"/>
    <w:rsid w:val="0066433F"/>
    <w:rsid w:val="00690F9E"/>
    <w:rsid w:val="006A3C0A"/>
    <w:rsid w:val="006E07B3"/>
    <w:rsid w:val="006E27A5"/>
    <w:rsid w:val="00720F65"/>
    <w:rsid w:val="007A0E2C"/>
    <w:rsid w:val="007B01FC"/>
    <w:rsid w:val="007C7713"/>
    <w:rsid w:val="007D6051"/>
    <w:rsid w:val="007F0041"/>
    <w:rsid w:val="00803335"/>
    <w:rsid w:val="00817310"/>
    <w:rsid w:val="00821DCD"/>
    <w:rsid w:val="00821F08"/>
    <w:rsid w:val="008273EC"/>
    <w:rsid w:val="00833091"/>
    <w:rsid w:val="00866BD1"/>
    <w:rsid w:val="008A2F20"/>
    <w:rsid w:val="008C5905"/>
    <w:rsid w:val="00910327"/>
    <w:rsid w:val="009353C0"/>
    <w:rsid w:val="009541B1"/>
    <w:rsid w:val="00AA19E5"/>
    <w:rsid w:val="00B5554B"/>
    <w:rsid w:val="00B702C2"/>
    <w:rsid w:val="00B71459"/>
    <w:rsid w:val="00BB3727"/>
    <w:rsid w:val="00BD0CD4"/>
    <w:rsid w:val="00BD1BF1"/>
    <w:rsid w:val="00C0519E"/>
    <w:rsid w:val="00C11DBE"/>
    <w:rsid w:val="00C335B9"/>
    <w:rsid w:val="00C82D36"/>
    <w:rsid w:val="00CB4F06"/>
    <w:rsid w:val="00CE1886"/>
    <w:rsid w:val="00CF0DDD"/>
    <w:rsid w:val="00D61AB3"/>
    <w:rsid w:val="00DD6457"/>
    <w:rsid w:val="00E11ABF"/>
    <w:rsid w:val="00E5241E"/>
    <w:rsid w:val="00E57048"/>
    <w:rsid w:val="00E6666F"/>
    <w:rsid w:val="00EC0A81"/>
    <w:rsid w:val="00ED4E03"/>
    <w:rsid w:val="00F126DB"/>
    <w:rsid w:val="00F442F0"/>
    <w:rsid w:val="00F633BB"/>
    <w:rsid w:val="00FA0976"/>
    <w:rsid w:val="00FB0A0B"/>
    <w:rsid w:val="FFD3C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9">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3">
    <w:name w:val="标题 1 Char"/>
    <w:basedOn w:val="6"/>
    <w:link w:val="2"/>
    <w:qFormat/>
    <w:uiPriority w:val="0"/>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306</Words>
  <Characters>1749</Characters>
  <Lines>14</Lines>
  <Paragraphs>4</Paragraphs>
  <TotalTime>0</TotalTime>
  <ScaleCrop>false</ScaleCrop>
  <LinksUpToDate>false</LinksUpToDate>
  <CharactersWithSpaces>2051</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2020-02-15T18:01:00Z</dcterms:created>
  <dc:creator>微软用户</dc:creator>
  <cp:lastModifiedBy>xuhaoxuan</cp:lastModifiedBy>
  <dcterms:modified xsi:type="dcterms:W3CDTF">2020-02-24T13:17:55Z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